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4A99C" w14:textId="0FC2661E" w:rsidR="00025B11" w:rsidRPr="00025B11" w:rsidRDefault="00A02251" w:rsidP="00025B11">
      <w:pPr>
        <w:rPr>
          <w:rFonts w:ascii="Arial" w:eastAsia="Times New Roman" w:hAnsi="Arial" w:cs="Arial"/>
          <w:b/>
          <w:iCs/>
          <w:sz w:val="24"/>
          <w:szCs w:val="24"/>
          <w:lang w:val="x-none"/>
        </w:rPr>
      </w:pPr>
      <w:r w:rsidRPr="00FB5295">
        <w:rPr>
          <w:rFonts w:ascii="Arial" w:hAnsi="Arial" w:cs="Arial"/>
          <w:b/>
          <w:sz w:val="24"/>
        </w:rPr>
        <w:t xml:space="preserve">AO </w:t>
      </w:r>
      <w:r w:rsidR="00025B11" w:rsidRPr="00025B11">
        <w:rPr>
          <w:rFonts w:ascii="Arial" w:eastAsia="Times New Roman" w:hAnsi="Arial" w:cs="Arial"/>
          <w:b/>
          <w:iCs/>
          <w:sz w:val="24"/>
          <w:szCs w:val="24"/>
          <w:lang w:val="x-none"/>
        </w:rPr>
        <w:t xml:space="preserve">JUÍZO DA </w:t>
      </w:r>
      <w:r w:rsidR="007C73EB">
        <w:rPr>
          <w:rFonts w:ascii="Arial" w:eastAsia="Times New Roman" w:hAnsi="Arial" w:cs="Arial"/>
          <w:b/>
          <w:iCs/>
          <w:sz w:val="24"/>
          <w:szCs w:val="24"/>
        </w:rPr>
        <w:t>__</w:t>
      </w:r>
      <w:r w:rsidR="00025B11" w:rsidRPr="00025B11">
        <w:rPr>
          <w:rFonts w:ascii="Arial" w:eastAsia="Times New Roman" w:hAnsi="Arial" w:cs="Arial"/>
          <w:b/>
          <w:iCs/>
          <w:sz w:val="24"/>
          <w:szCs w:val="24"/>
          <w:lang w:val="x-none"/>
        </w:rPr>
        <w:t xml:space="preserve"> VARA ENTORPECENTES DO DISTRITO FEDERAL</w:t>
      </w:r>
    </w:p>
    <w:p w14:paraId="7B6601AC" w14:textId="37BBBA1C" w:rsidR="00A02251" w:rsidRPr="00025B11" w:rsidRDefault="00A02251" w:rsidP="00A02251">
      <w:pPr>
        <w:pStyle w:val="Corpodetexto2"/>
        <w:spacing w:line="360" w:lineRule="auto"/>
        <w:rPr>
          <w:rFonts w:ascii="Arial" w:hAnsi="Arial" w:cs="Arial"/>
          <w:b/>
          <w:i w:val="0"/>
          <w:sz w:val="24"/>
        </w:rPr>
      </w:pPr>
    </w:p>
    <w:p w14:paraId="2A7208E4" w14:textId="77777777" w:rsidR="00A02251" w:rsidRDefault="00A02251" w:rsidP="00A0225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7100A7F" w14:textId="68D8D1F2" w:rsidR="00A02251" w:rsidRDefault="00A02251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60FB25BA" w14:textId="1DE3313B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2FE4640D" w14:textId="67DF025D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716A9A1A" w14:textId="21A6BC00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14871CDA" w14:textId="1E6A8A4C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78485ACD" w14:textId="77777777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6D6F8AB8" w14:textId="77777777" w:rsidR="00A02251" w:rsidRDefault="00A02251" w:rsidP="00A02251">
      <w:pPr>
        <w:pStyle w:val="Corpodetexto3"/>
        <w:spacing w:line="360" w:lineRule="auto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6B2993DA" w14:textId="17D60D55" w:rsidR="00A02251" w:rsidRDefault="007C73EB" w:rsidP="00A02251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b/>
          <w:bCs/>
          <w:sz w:val="24"/>
          <w:lang w:val="pt-BR"/>
        </w:rPr>
        <w:t>NOME</w:t>
      </w:r>
      <w:r w:rsidR="00A02251" w:rsidRPr="007D3750">
        <w:rPr>
          <w:rFonts w:ascii="Arial" w:hAnsi="Arial" w:cs="Arial"/>
          <w:sz w:val="24"/>
          <w:lang w:val="pt-BR"/>
        </w:rPr>
        <w:t xml:space="preserve">, </w:t>
      </w:r>
      <w:bookmarkStart w:id="0" w:name="_Hlk62556064"/>
      <w:r w:rsidR="00A02251" w:rsidRPr="00353708">
        <w:rPr>
          <w:rFonts w:ascii="Arial" w:hAnsi="Arial" w:cs="Arial"/>
          <w:sz w:val="24"/>
          <w:lang w:val="pt-BR"/>
        </w:rPr>
        <w:t>já qualificad</w:t>
      </w:r>
      <w:r w:rsidR="00AD08B3">
        <w:rPr>
          <w:rFonts w:ascii="Arial" w:hAnsi="Arial" w:cs="Arial"/>
          <w:sz w:val="24"/>
          <w:lang w:val="pt-BR"/>
        </w:rPr>
        <w:t>o</w:t>
      </w:r>
      <w:r w:rsidR="00A02251" w:rsidRPr="00353708">
        <w:rPr>
          <w:rFonts w:ascii="Arial" w:hAnsi="Arial" w:cs="Arial"/>
          <w:sz w:val="24"/>
          <w:lang w:val="pt-BR"/>
        </w:rPr>
        <w:t xml:space="preserve"> nos autos</w:t>
      </w:r>
      <w:r w:rsidR="00A02251" w:rsidRPr="00FB5295">
        <w:rPr>
          <w:rFonts w:ascii="Arial" w:hAnsi="Arial" w:cs="Arial"/>
          <w:sz w:val="24"/>
          <w:lang w:val="pt-BR"/>
        </w:rPr>
        <w:t>, v</w:t>
      </w:r>
      <w:r w:rsidR="00100E55">
        <w:rPr>
          <w:rFonts w:ascii="Arial" w:hAnsi="Arial" w:cs="Arial"/>
          <w:sz w:val="24"/>
          <w:lang w:val="pt-BR"/>
        </w:rPr>
        <w:t>e</w:t>
      </w:r>
      <w:r w:rsidR="00A02251" w:rsidRPr="00FB5295">
        <w:rPr>
          <w:rFonts w:ascii="Arial" w:hAnsi="Arial" w:cs="Arial"/>
          <w:sz w:val="24"/>
          <w:lang w:val="pt-BR"/>
        </w:rPr>
        <w:t xml:space="preserve">m, por intermédio da Defensoria Pública do Distrito Federal, com </w:t>
      </w:r>
      <w:r w:rsidR="00F871AF">
        <w:rPr>
          <w:rFonts w:ascii="Arial" w:hAnsi="Arial" w:cs="Arial"/>
          <w:sz w:val="24"/>
          <w:lang w:val="pt-BR"/>
        </w:rPr>
        <w:t xml:space="preserve">fundamento no art. </w:t>
      </w:r>
      <w:r w:rsidR="00100E55">
        <w:rPr>
          <w:rFonts w:ascii="Arial" w:hAnsi="Arial" w:cs="Arial"/>
          <w:sz w:val="24"/>
          <w:lang w:val="pt-BR"/>
        </w:rPr>
        <w:t>600</w:t>
      </w:r>
      <w:r w:rsidR="00025B11">
        <w:rPr>
          <w:rFonts w:ascii="Arial" w:hAnsi="Arial" w:cs="Arial"/>
          <w:sz w:val="24"/>
          <w:lang w:val="pt-BR"/>
        </w:rPr>
        <w:t xml:space="preserve"> do CPP</w:t>
      </w:r>
      <w:r w:rsidR="00A02251" w:rsidRPr="00FB5295">
        <w:rPr>
          <w:rFonts w:ascii="Arial" w:hAnsi="Arial" w:cs="Arial"/>
          <w:sz w:val="24"/>
          <w:lang w:val="pt-BR"/>
        </w:rPr>
        <w:t>, apresentar</w:t>
      </w:r>
      <w:bookmarkEnd w:id="0"/>
      <w:r w:rsidR="00A02251" w:rsidRPr="00FB5295">
        <w:rPr>
          <w:rFonts w:ascii="Arial" w:hAnsi="Arial" w:cs="Arial"/>
          <w:sz w:val="24"/>
          <w:lang w:val="pt-BR"/>
        </w:rPr>
        <w:t xml:space="preserve"> </w:t>
      </w:r>
    </w:p>
    <w:p w14:paraId="3519F853" w14:textId="77777777" w:rsidR="00A02251" w:rsidRPr="002F2A0D" w:rsidRDefault="00A02251" w:rsidP="00A02251">
      <w:pPr>
        <w:pStyle w:val="Corpodetexto3"/>
        <w:rPr>
          <w:rFonts w:ascii="Arial" w:hAnsi="Arial" w:cs="Arial"/>
          <w:sz w:val="24"/>
          <w:lang w:val="pt-BR"/>
        </w:rPr>
      </w:pPr>
    </w:p>
    <w:p w14:paraId="405851CF" w14:textId="47011849" w:rsidR="00A02251" w:rsidRDefault="00100E55" w:rsidP="00A0225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i/>
          <w:iCs/>
          <w:sz w:val="24"/>
          <w:lang w:val="pt-BR"/>
        </w:rPr>
        <w:t>RAZÕES DE APELAÇÃO</w:t>
      </w:r>
    </w:p>
    <w:p w14:paraId="17473AE2" w14:textId="77777777" w:rsidR="00A02251" w:rsidRDefault="00A02251" w:rsidP="00A02251">
      <w:pPr>
        <w:pStyle w:val="Corpodetexto3"/>
        <w:rPr>
          <w:rFonts w:ascii="Arial" w:hAnsi="Arial" w:cs="Arial"/>
          <w:sz w:val="24"/>
        </w:rPr>
      </w:pPr>
    </w:p>
    <w:p w14:paraId="7BD7CEDF" w14:textId="77777777" w:rsidR="00100E55" w:rsidRPr="00645FB8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 xml:space="preserve">contra a sentença </w:t>
      </w:r>
      <w:r>
        <w:rPr>
          <w:rFonts w:ascii="Arial" w:hAnsi="Arial" w:cs="Arial"/>
          <w:sz w:val="24"/>
          <w:lang w:val="pt-BR"/>
        </w:rPr>
        <w:t>proferida</w:t>
      </w:r>
      <w:r w:rsidRPr="00645FB8">
        <w:rPr>
          <w:rFonts w:ascii="Arial" w:hAnsi="Arial" w:cs="Arial"/>
          <w:sz w:val="24"/>
          <w:lang w:val="pt-BR"/>
        </w:rPr>
        <w:t xml:space="preserve">, </w:t>
      </w:r>
      <w:bookmarkStart w:id="1" w:name="_Hlk62556077"/>
      <w:r w:rsidRPr="00645FB8">
        <w:rPr>
          <w:rFonts w:ascii="Arial" w:hAnsi="Arial" w:cs="Arial"/>
          <w:sz w:val="24"/>
          <w:lang w:val="pt-BR"/>
        </w:rPr>
        <w:t>requerendo</w:t>
      </w:r>
      <w:r>
        <w:rPr>
          <w:rFonts w:ascii="Arial" w:hAnsi="Arial" w:cs="Arial"/>
          <w:sz w:val="24"/>
          <w:lang w:val="pt-BR"/>
        </w:rPr>
        <w:t>, após a intimação do recorrido para apresentação de contrarrazões,</w:t>
      </w:r>
      <w:r w:rsidRPr="00645FB8">
        <w:rPr>
          <w:rFonts w:ascii="Arial" w:hAnsi="Arial" w:cs="Arial"/>
          <w:sz w:val="24"/>
          <w:lang w:val="pt-BR"/>
        </w:rPr>
        <w:t xml:space="preserve"> a remessa dos autos ao Tribunal de Justiça do Distrito Federal e dos Territórios, para recebimento nos efeitos suspensivo e devolutivo</w:t>
      </w:r>
      <w:bookmarkEnd w:id="1"/>
      <w:r w:rsidRPr="00645FB8">
        <w:rPr>
          <w:rFonts w:ascii="Arial" w:hAnsi="Arial" w:cs="Arial"/>
          <w:sz w:val="24"/>
          <w:lang w:val="pt-BR"/>
        </w:rPr>
        <w:t>.</w:t>
      </w:r>
    </w:p>
    <w:p w14:paraId="21283454" w14:textId="77777777" w:rsidR="00100E55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E6C42F9" w14:textId="77777777" w:rsidR="00100E55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</w:p>
    <w:p w14:paraId="3A5216BC" w14:textId="77777777" w:rsidR="00100E55" w:rsidRPr="00645FB8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>Pede deferimento nesses termos.</w:t>
      </w:r>
    </w:p>
    <w:p w14:paraId="7A3F00B0" w14:textId="77777777" w:rsidR="00100E55" w:rsidRPr="00645FB8" w:rsidRDefault="00100E55" w:rsidP="00100E55">
      <w:pPr>
        <w:pStyle w:val="Corpodetexto3"/>
        <w:spacing w:line="360" w:lineRule="auto"/>
        <w:ind w:firstLine="709"/>
        <w:jc w:val="center"/>
        <w:rPr>
          <w:rFonts w:ascii="Arial" w:hAnsi="Arial" w:cs="Arial"/>
          <w:sz w:val="24"/>
          <w:lang w:val="pt-BR"/>
        </w:rPr>
      </w:pPr>
    </w:p>
    <w:p w14:paraId="5E0A4A56" w14:textId="10633531" w:rsidR="00100E55" w:rsidRPr="00645FB8" w:rsidRDefault="00636BA1" w:rsidP="00100E55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Brasília</w:t>
      </w:r>
      <w:r w:rsidR="00100E55" w:rsidRPr="00645FB8">
        <w:rPr>
          <w:rFonts w:ascii="Arial" w:hAnsi="Arial" w:cs="Arial"/>
          <w:sz w:val="24"/>
          <w:lang w:val="pt-BR"/>
        </w:rPr>
        <w:t xml:space="preserve">-DF, </w:t>
      </w:r>
      <w:proofErr w:type="spellStart"/>
      <w:r w:rsidR="007C73EB">
        <w:rPr>
          <w:rFonts w:ascii="Arial" w:hAnsi="Arial" w:cs="Arial"/>
          <w:sz w:val="24"/>
          <w:lang w:val="pt-BR"/>
        </w:rPr>
        <w:t>xx</w:t>
      </w:r>
      <w:proofErr w:type="spellEnd"/>
      <w:r w:rsidR="00100E55" w:rsidRPr="00645FB8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7C73EB">
        <w:rPr>
          <w:rFonts w:ascii="Arial" w:hAnsi="Arial" w:cs="Arial"/>
          <w:sz w:val="24"/>
          <w:lang w:val="pt-BR"/>
        </w:rPr>
        <w:t>xxxxx</w:t>
      </w:r>
      <w:proofErr w:type="spellEnd"/>
      <w:r w:rsidR="00100E55" w:rsidRPr="00645FB8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7C73EB">
        <w:rPr>
          <w:rFonts w:ascii="Arial" w:hAnsi="Arial" w:cs="Arial"/>
          <w:sz w:val="24"/>
          <w:lang w:val="pt-BR"/>
        </w:rPr>
        <w:t>xxxx</w:t>
      </w:r>
      <w:proofErr w:type="spellEnd"/>
    </w:p>
    <w:p w14:paraId="4BD29C62" w14:textId="77777777" w:rsidR="00100E55" w:rsidRPr="00645FB8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b/>
          <w:bCs/>
          <w:sz w:val="24"/>
          <w:lang w:val="pt-BR"/>
        </w:rPr>
      </w:pPr>
    </w:p>
    <w:p w14:paraId="69C63EF4" w14:textId="45C846E2" w:rsidR="00100E55" w:rsidRPr="00645FB8" w:rsidRDefault="007C73EB" w:rsidP="00100E55">
      <w:pPr>
        <w:pStyle w:val="Corpodetexto3"/>
        <w:spacing w:line="360" w:lineRule="auto"/>
        <w:jc w:val="center"/>
        <w:rPr>
          <w:rFonts w:ascii="Arial" w:hAnsi="Arial" w:cs="Arial"/>
          <w:b/>
          <w:bCs/>
          <w:sz w:val="24"/>
          <w:lang w:val="pt-BR"/>
        </w:rPr>
      </w:pPr>
      <w:r>
        <w:rPr>
          <w:rFonts w:ascii="Arial" w:hAnsi="Arial" w:cs="Arial"/>
          <w:b/>
          <w:bCs/>
          <w:sz w:val="24"/>
          <w:lang w:val="pt-BR"/>
        </w:rPr>
        <w:t>Nome</w:t>
      </w:r>
    </w:p>
    <w:p w14:paraId="756A114C" w14:textId="44747C1E" w:rsidR="00100E55" w:rsidRPr="00645FB8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i/>
          <w:iCs/>
          <w:sz w:val="24"/>
          <w:lang w:val="pt-BR"/>
        </w:rPr>
      </w:pPr>
      <w:r w:rsidRPr="00645FB8">
        <w:rPr>
          <w:rFonts w:ascii="Arial" w:hAnsi="Arial" w:cs="Arial"/>
          <w:i/>
          <w:iCs/>
          <w:sz w:val="24"/>
          <w:lang w:val="pt-BR"/>
        </w:rPr>
        <w:t>Defensor</w:t>
      </w:r>
      <w:r w:rsidR="007C73EB"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Público</w:t>
      </w:r>
      <w:r w:rsidR="007C73EB"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do Distrito Federal</w:t>
      </w:r>
    </w:p>
    <w:p w14:paraId="22AAAAEC" w14:textId="24A2722B" w:rsidR="00A02251" w:rsidRDefault="00A02251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702976B" w14:textId="09779567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4BAB465E" w14:textId="04B75599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85B9312" w14:textId="3C25CDC4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1153A2D6" w14:textId="43CA5A8C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450089EC" w14:textId="77777777" w:rsidR="007C73EB" w:rsidRDefault="007C73EB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565C7EB4" w14:textId="3575B4A8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7FA04EC5" w14:textId="43FACF2E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7EAFC0B" w14:textId="5CD3EDCA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0B9F48E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5FB8">
        <w:rPr>
          <w:rFonts w:ascii="Arial" w:hAnsi="Arial" w:cs="Arial"/>
          <w:b/>
          <w:bCs/>
          <w:sz w:val="24"/>
          <w:szCs w:val="24"/>
        </w:rPr>
        <w:lastRenderedPageBreak/>
        <w:t>RAZÕES DO RECURSO DE APELAÇÃO</w:t>
      </w:r>
    </w:p>
    <w:p w14:paraId="78E7A7E6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6A212B39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Egrégio Tribunal de Justiça do Distrito Federal e Territórios</w:t>
      </w:r>
    </w:p>
    <w:p w14:paraId="15841B14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Nobres Desembargadores</w:t>
      </w:r>
    </w:p>
    <w:p w14:paraId="080F7AED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Ilustre Relator(a)</w:t>
      </w:r>
    </w:p>
    <w:p w14:paraId="49563646" w14:textId="50275E69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115DC62D" w14:textId="558872A1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6EA272DC" w14:textId="77777777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08402E90" w14:textId="38487E70" w:rsidR="00100E55" w:rsidRPr="00645FB8" w:rsidRDefault="00100E55" w:rsidP="00100E55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bookmarkStart w:id="2" w:name="_Hlk62555321"/>
      <w:r>
        <w:rPr>
          <w:rFonts w:ascii="Arial" w:hAnsi="Arial" w:cs="Arial"/>
          <w:sz w:val="24"/>
          <w:szCs w:val="24"/>
          <w:lang w:val="pt-BR" w:eastAsia="en-US"/>
        </w:rPr>
        <w:t>D</w:t>
      </w:r>
      <w:r w:rsidRPr="00645FB8">
        <w:rPr>
          <w:rFonts w:ascii="Arial" w:hAnsi="Arial" w:cs="Arial"/>
          <w:sz w:val="24"/>
          <w:szCs w:val="24"/>
          <w:lang w:val="pt-BR" w:eastAsia="en-US"/>
        </w:rPr>
        <w:t>A TEMPESTIVIDADE</w:t>
      </w:r>
    </w:p>
    <w:p w14:paraId="2146EE6E" w14:textId="77777777" w:rsidR="00100E55" w:rsidRPr="00645FB8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3935BA91" w14:textId="05928015" w:rsidR="00100E55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 xml:space="preserve">Considerando o prazo de </w:t>
      </w:r>
      <w:r>
        <w:rPr>
          <w:rFonts w:ascii="Arial" w:hAnsi="Arial" w:cs="Arial"/>
          <w:sz w:val="24"/>
          <w:lang w:val="pt-BR"/>
        </w:rPr>
        <w:t>8</w:t>
      </w:r>
      <w:r w:rsidRPr="00645FB8">
        <w:rPr>
          <w:rFonts w:ascii="Arial" w:hAnsi="Arial" w:cs="Arial"/>
          <w:sz w:val="24"/>
          <w:lang w:val="pt-BR"/>
        </w:rPr>
        <w:t xml:space="preserve"> dias para a </w:t>
      </w:r>
      <w:r>
        <w:rPr>
          <w:rFonts w:ascii="Arial" w:hAnsi="Arial" w:cs="Arial"/>
          <w:sz w:val="24"/>
          <w:lang w:val="pt-BR"/>
        </w:rPr>
        <w:t>apresentação das razões de</w:t>
      </w:r>
      <w:r w:rsidRPr="00645FB8">
        <w:rPr>
          <w:rFonts w:ascii="Arial" w:hAnsi="Arial" w:cs="Arial"/>
          <w:sz w:val="24"/>
          <w:lang w:val="pt-BR"/>
        </w:rPr>
        <w:t xml:space="preserve"> apelação (art. </w:t>
      </w:r>
      <w:r>
        <w:rPr>
          <w:rFonts w:ascii="Arial" w:hAnsi="Arial" w:cs="Arial"/>
          <w:sz w:val="24"/>
          <w:lang w:val="pt-BR"/>
        </w:rPr>
        <w:t>600</w:t>
      </w:r>
      <w:r w:rsidRPr="00645FB8">
        <w:rPr>
          <w:rFonts w:ascii="Arial" w:hAnsi="Arial" w:cs="Arial"/>
          <w:sz w:val="24"/>
          <w:lang w:val="pt-BR"/>
        </w:rPr>
        <w:t xml:space="preserve"> do </w:t>
      </w:r>
      <w:r>
        <w:rPr>
          <w:rFonts w:ascii="Arial" w:hAnsi="Arial" w:cs="Arial"/>
          <w:sz w:val="24"/>
          <w:lang w:val="pt-BR"/>
        </w:rPr>
        <w:t>CPP</w:t>
      </w:r>
      <w:r w:rsidRPr="00645FB8">
        <w:rPr>
          <w:rFonts w:ascii="Arial" w:hAnsi="Arial" w:cs="Arial"/>
          <w:sz w:val="24"/>
          <w:lang w:val="pt-BR"/>
        </w:rPr>
        <w:t xml:space="preserve">) e a prerrogativa do prazo em dobro da Defensoria Pública (art. 89, I, da LC 80/94), verifica-se que </w:t>
      </w:r>
      <w:r w:rsidR="00F041C2">
        <w:rPr>
          <w:rFonts w:ascii="Arial" w:hAnsi="Arial" w:cs="Arial"/>
          <w:sz w:val="24"/>
          <w:lang w:val="pt-BR"/>
        </w:rPr>
        <w:t>a</w:t>
      </w:r>
      <w:r w:rsidRPr="00645FB8">
        <w:rPr>
          <w:rFonts w:ascii="Arial" w:hAnsi="Arial" w:cs="Arial"/>
          <w:sz w:val="24"/>
          <w:lang w:val="pt-BR"/>
        </w:rPr>
        <w:t xml:space="preserve"> presente </w:t>
      </w:r>
      <w:r w:rsidR="00F041C2">
        <w:rPr>
          <w:rFonts w:ascii="Arial" w:hAnsi="Arial" w:cs="Arial"/>
          <w:sz w:val="24"/>
          <w:lang w:val="pt-BR"/>
        </w:rPr>
        <w:t>manifestação</w:t>
      </w:r>
      <w:r w:rsidRPr="00645FB8">
        <w:rPr>
          <w:rFonts w:ascii="Arial" w:hAnsi="Arial" w:cs="Arial"/>
          <w:sz w:val="24"/>
          <w:lang w:val="pt-BR"/>
        </w:rPr>
        <w:t xml:space="preserve"> é tempestiv</w:t>
      </w:r>
      <w:r w:rsidR="00F041C2">
        <w:rPr>
          <w:rFonts w:ascii="Arial" w:hAnsi="Arial" w:cs="Arial"/>
          <w:sz w:val="24"/>
          <w:lang w:val="pt-BR"/>
        </w:rPr>
        <w:t>a</w:t>
      </w:r>
      <w:r w:rsidRPr="00645FB8">
        <w:rPr>
          <w:rFonts w:ascii="Arial" w:hAnsi="Arial" w:cs="Arial"/>
          <w:sz w:val="24"/>
          <w:lang w:val="pt-BR"/>
        </w:rPr>
        <w:t>.</w:t>
      </w:r>
    </w:p>
    <w:bookmarkEnd w:id="2"/>
    <w:p w14:paraId="2B569627" w14:textId="77777777" w:rsidR="00F041C2" w:rsidRPr="00645FB8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3CB1D47" w14:textId="77777777" w:rsidR="00F041C2" w:rsidRPr="00645FB8" w:rsidRDefault="00F041C2" w:rsidP="00F041C2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 w:rsidRPr="00645FB8">
        <w:rPr>
          <w:rFonts w:ascii="Arial" w:hAnsi="Arial" w:cs="Arial"/>
          <w:sz w:val="24"/>
          <w:szCs w:val="24"/>
          <w:lang w:val="pt-BR" w:eastAsia="en-US"/>
        </w:rPr>
        <w:t>DA SÍNTESE DO PROCESSO</w:t>
      </w:r>
    </w:p>
    <w:p w14:paraId="4993036E" w14:textId="77777777" w:rsidR="00083206" w:rsidRDefault="00083206" w:rsidP="00083206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4C41D879" w14:textId="4FFAD2FC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O ora apelante foi denunciado pelo Ministério Público em razão da suposta prática do crime previsto no artigo 33, caput, c/c art. 40, inciso III, ambos da Lei nº 11.343/06, porque, supostamente, vendeu</w:t>
      </w:r>
      <w:r w:rsidR="007C73EB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uma porção de entorpecente vulgarmente conhecido como crack</w:t>
      </w:r>
      <w:r w:rsidR="007C73EB">
        <w:rPr>
          <w:rFonts w:ascii="Arial" w:hAnsi="Arial" w:cs="Arial"/>
          <w:sz w:val="24"/>
          <w:lang w:val="pt-BR"/>
        </w:rPr>
        <w:t>.</w:t>
      </w:r>
      <w:r w:rsidRPr="00F041C2">
        <w:rPr>
          <w:rFonts w:ascii="Arial" w:hAnsi="Arial" w:cs="Arial"/>
          <w:sz w:val="24"/>
          <w:lang w:val="pt-BR"/>
        </w:rPr>
        <w:t xml:space="preserve"> </w:t>
      </w:r>
    </w:p>
    <w:p w14:paraId="7E755A49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11B9ED4" w14:textId="21E6AFF1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Apresentadas as alegações finais, foi proferida a sentença. A magistrada entendeu que haveria provas de autoria e materialidade do crime, condenando </w:t>
      </w:r>
      <w:r w:rsidR="007C73EB">
        <w:rPr>
          <w:rFonts w:ascii="Arial" w:hAnsi="Arial" w:cs="Arial"/>
          <w:sz w:val="24"/>
          <w:lang w:val="pt-BR"/>
        </w:rPr>
        <w:t>o recorrente</w:t>
      </w:r>
      <w:r w:rsidR="00DF6411" w:rsidRPr="00F041C2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 xml:space="preserve">à pena definitiva de 5 anos e 10 meses de reclusão, além de 583 dias-multa. </w:t>
      </w:r>
    </w:p>
    <w:p w14:paraId="40A5435E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7F483D3" w14:textId="339A8D45" w:rsidR="00536559" w:rsidRPr="00536559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Na primeira fase da dosimetria, </w:t>
      </w:r>
      <w:r w:rsidR="006A4989">
        <w:rPr>
          <w:rFonts w:ascii="Arial" w:hAnsi="Arial" w:cs="Arial"/>
          <w:sz w:val="24"/>
          <w:lang w:val="pt-BR"/>
        </w:rPr>
        <w:t xml:space="preserve">a decisão </w:t>
      </w:r>
      <w:r w:rsidRPr="00F041C2">
        <w:rPr>
          <w:rFonts w:ascii="Arial" w:hAnsi="Arial" w:cs="Arial"/>
          <w:sz w:val="24"/>
          <w:lang w:val="pt-BR"/>
        </w:rPr>
        <w:t>considerou desfavorável a circunstância judicia</w:t>
      </w:r>
      <w:r w:rsidR="007C73EB">
        <w:rPr>
          <w:rFonts w:ascii="Arial" w:hAnsi="Arial" w:cs="Arial"/>
          <w:sz w:val="24"/>
          <w:lang w:val="pt-BR"/>
        </w:rPr>
        <w:t>l</w:t>
      </w:r>
      <w:r w:rsidRPr="00F041C2">
        <w:rPr>
          <w:rFonts w:ascii="Arial" w:hAnsi="Arial" w:cs="Arial"/>
          <w:sz w:val="24"/>
          <w:lang w:val="pt-BR"/>
        </w:rPr>
        <w:t xml:space="preserve"> de natureza da droga, exasperando a pena base para 6 anos. </w:t>
      </w:r>
      <w:r w:rsidR="006A4989">
        <w:rPr>
          <w:rFonts w:ascii="Arial" w:hAnsi="Arial" w:cs="Arial"/>
          <w:sz w:val="24"/>
          <w:lang w:val="pt-BR"/>
        </w:rPr>
        <w:t>Ademais</w:t>
      </w:r>
      <w:r w:rsidRPr="00F041C2">
        <w:rPr>
          <w:rFonts w:ascii="Arial" w:hAnsi="Arial" w:cs="Arial"/>
          <w:sz w:val="24"/>
          <w:lang w:val="pt-BR"/>
        </w:rPr>
        <w:t xml:space="preserve">, </w:t>
      </w:r>
      <w:r w:rsidR="006A4989">
        <w:rPr>
          <w:rFonts w:ascii="Arial" w:hAnsi="Arial" w:cs="Arial"/>
          <w:sz w:val="24"/>
          <w:lang w:val="pt-BR"/>
        </w:rPr>
        <w:t xml:space="preserve">a sentença </w:t>
      </w:r>
      <w:r w:rsidRPr="00F041C2">
        <w:rPr>
          <w:rFonts w:ascii="Arial" w:hAnsi="Arial" w:cs="Arial"/>
          <w:sz w:val="24"/>
          <w:lang w:val="pt-BR"/>
        </w:rPr>
        <w:t xml:space="preserve">aplicou a causa de aumento prevista no artigo 40, III, da LAD, aumentando a pena em um sexto. </w:t>
      </w:r>
      <w:r w:rsidR="006A4989">
        <w:rPr>
          <w:rFonts w:ascii="Arial" w:hAnsi="Arial" w:cs="Arial"/>
          <w:sz w:val="24"/>
          <w:lang w:val="pt-BR"/>
        </w:rPr>
        <w:t xml:space="preserve">Por fim, foi afastada a causa de diminuição do art. </w:t>
      </w:r>
      <w:r w:rsidR="006A4989">
        <w:rPr>
          <w:rFonts w:ascii="Arial" w:hAnsi="Arial" w:cs="Arial"/>
          <w:sz w:val="24"/>
          <w:lang w:val="pt-BR"/>
        </w:rPr>
        <w:lastRenderedPageBreak/>
        <w:t>33, § 4º, da Lei 11.343, sob o argumento de que haveria ações penais em curso contra o apelante.</w:t>
      </w:r>
    </w:p>
    <w:p w14:paraId="7BA1860C" w14:textId="77777777" w:rsidR="00F041C2" w:rsidRDefault="00F041C2" w:rsidP="00536559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65A64F8" w14:textId="7DCFABD4" w:rsidR="00636BA1" w:rsidRDefault="00587865" w:rsidP="00C618D3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O</w:t>
      </w:r>
      <w:r w:rsidR="00F041C2">
        <w:rPr>
          <w:rFonts w:ascii="Arial" w:hAnsi="Arial" w:cs="Arial"/>
          <w:sz w:val="24"/>
          <w:lang w:val="pt-BR"/>
        </w:rPr>
        <w:t xml:space="preserve"> réu apelou e o</w:t>
      </w:r>
      <w:r>
        <w:rPr>
          <w:rFonts w:ascii="Arial" w:hAnsi="Arial" w:cs="Arial"/>
          <w:sz w:val="24"/>
          <w:lang w:val="pt-BR"/>
        </w:rPr>
        <w:t xml:space="preserve">s autos foram enviados à Defensoria Pública para </w:t>
      </w:r>
      <w:r w:rsidR="00CB5E43">
        <w:rPr>
          <w:rFonts w:ascii="Arial" w:hAnsi="Arial" w:cs="Arial"/>
          <w:sz w:val="24"/>
          <w:lang w:val="pt-BR"/>
        </w:rPr>
        <w:t xml:space="preserve">a </w:t>
      </w:r>
      <w:r>
        <w:rPr>
          <w:rFonts w:ascii="Arial" w:hAnsi="Arial" w:cs="Arial"/>
          <w:sz w:val="24"/>
          <w:lang w:val="pt-BR"/>
        </w:rPr>
        <w:t xml:space="preserve">confecção das </w:t>
      </w:r>
      <w:r w:rsidR="00F041C2">
        <w:rPr>
          <w:rFonts w:ascii="Arial" w:hAnsi="Arial" w:cs="Arial"/>
          <w:sz w:val="24"/>
          <w:lang w:val="pt-BR"/>
        </w:rPr>
        <w:t>razões de apelação</w:t>
      </w:r>
      <w:r w:rsidR="00DC2F62" w:rsidRPr="00563D6F">
        <w:rPr>
          <w:rFonts w:ascii="Arial" w:hAnsi="Arial" w:cs="Arial"/>
          <w:sz w:val="24"/>
          <w:lang w:val="pt-BR"/>
        </w:rPr>
        <w:t>.</w:t>
      </w:r>
    </w:p>
    <w:p w14:paraId="226585E8" w14:textId="77777777" w:rsidR="00F041C2" w:rsidRPr="00645FB8" w:rsidRDefault="00F041C2" w:rsidP="00F041C2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2BCEDA71" w14:textId="1BF9F818" w:rsidR="00F041C2" w:rsidRPr="00645FB8" w:rsidRDefault="00F041C2" w:rsidP="00636BA1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both"/>
        <w:rPr>
          <w:rFonts w:ascii="Arial" w:hAnsi="Arial" w:cs="Arial"/>
          <w:sz w:val="24"/>
          <w:szCs w:val="24"/>
          <w:lang w:val="pt-BR" w:eastAsia="en-US"/>
        </w:rPr>
      </w:pPr>
      <w:r>
        <w:rPr>
          <w:rFonts w:ascii="Arial" w:hAnsi="Arial" w:cs="Arial"/>
          <w:sz w:val="24"/>
          <w:szCs w:val="24"/>
          <w:lang w:val="pt-BR" w:eastAsia="en-US"/>
        </w:rPr>
        <w:t xml:space="preserve">DA DESCLASSIFICAÇÃO PARA </w:t>
      </w:r>
      <w:r w:rsidR="00636BA1" w:rsidRPr="00636BA1">
        <w:rPr>
          <w:rFonts w:ascii="Arial" w:hAnsi="Arial" w:cs="Arial"/>
          <w:sz w:val="24"/>
          <w:szCs w:val="24"/>
          <w:lang w:val="pt-BR" w:eastAsia="en-US"/>
        </w:rPr>
        <w:t>CESSÃO GRATUITA E EVENTUAL DE DROGAS PARA CONSUMO COMPARTILHADO</w:t>
      </w:r>
    </w:p>
    <w:p w14:paraId="399EEDA1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F98A89D" w14:textId="4F06244A" w:rsidR="0046580E" w:rsidRDefault="00DF6411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Ao</w:t>
      </w:r>
      <w:r w:rsidR="00F041C2" w:rsidRPr="00F041C2">
        <w:rPr>
          <w:rFonts w:ascii="Arial" w:hAnsi="Arial" w:cs="Arial"/>
          <w:sz w:val="24"/>
          <w:lang w:val="pt-BR"/>
        </w:rPr>
        <w:t xml:space="preserve"> contrário do que afirma a </w:t>
      </w:r>
      <w:r>
        <w:rPr>
          <w:rFonts w:ascii="Arial" w:hAnsi="Arial" w:cs="Arial"/>
          <w:sz w:val="24"/>
          <w:lang w:val="pt-BR"/>
        </w:rPr>
        <w:t>sentença</w:t>
      </w:r>
      <w:r w:rsidR="00F041C2" w:rsidRPr="00F041C2">
        <w:rPr>
          <w:rFonts w:ascii="Arial" w:hAnsi="Arial" w:cs="Arial"/>
          <w:sz w:val="24"/>
          <w:lang w:val="pt-BR"/>
        </w:rPr>
        <w:t xml:space="preserve">, não há elementos suficientes que ensejem a condenação pelo tráfico. </w:t>
      </w:r>
      <w:r>
        <w:rPr>
          <w:rFonts w:ascii="Arial" w:hAnsi="Arial" w:cs="Arial"/>
          <w:sz w:val="24"/>
          <w:lang w:val="pt-BR"/>
        </w:rPr>
        <w:t>V</w:t>
      </w:r>
      <w:r w:rsidR="00F041C2" w:rsidRPr="00F041C2">
        <w:rPr>
          <w:rFonts w:ascii="Arial" w:hAnsi="Arial" w:cs="Arial"/>
          <w:sz w:val="24"/>
          <w:lang w:val="pt-BR"/>
        </w:rPr>
        <w:t xml:space="preserve">erifica-se que as provas citadas na </w:t>
      </w:r>
      <w:r>
        <w:rPr>
          <w:rFonts w:ascii="Arial" w:hAnsi="Arial" w:cs="Arial"/>
          <w:sz w:val="24"/>
          <w:lang w:val="pt-BR"/>
        </w:rPr>
        <w:t>mencionada decisão</w:t>
      </w:r>
      <w:r w:rsidR="00F041C2" w:rsidRPr="00F041C2">
        <w:rPr>
          <w:rFonts w:ascii="Arial" w:hAnsi="Arial" w:cs="Arial"/>
          <w:sz w:val="24"/>
          <w:lang w:val="pt-BR"/>
        </w:rPr>
        <w:t xml:space="preserve"> não comprovam que o sentenciado tenha recebido qualquer dinheiro do suposto usuário. </w:t>
      </w:r>
    </w:p>
    <w:p w14:paraId="39AB0027" w14:textId="77777777" w:rsidR="0046580E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15DCC9E" w14:textId="5558613C" w:rsidR="00F041C2" w:rsidRDefault="00F041C2" w:rsidP="007C73EB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O</w:t>
      </w:r>
      <w:r w:rsidR="0046580E">
        <w:rPr>
          <w:rFonts w:ascii="Arial" w:hAnsi="Arial" w:cs="Arial"/>
          <w:sz w:val="24"/>
          <w:lang w:val="pt-BR"/>
        </w:rPr>
        <w:t>s</w:t>
      </w:r>
      <w:r w:rsidRPr="00F041C2">
        <w:rPr>
          <w:rFonts w:ascii="Arial" w:hAnsi="Arial" w:cs="Arial"/>
          <w:sz w:val="24"/>
          <w:lang w:val="pt-BR"/>
        </w:rPr>
        <w:t xml:space="preserve"> vídeo</w:t>
      </w:r>
      <w:r w:rsidR="0046580E">
        <w:rPr>
          <w:rFonts w:ascii="Arial" w:hAnsi="Arial" w:cs="Arial"/>
          <w:sz w:val="24"/>
          <w:lang w:val="pt-BR"/>
        </w:rPr>
        <w:t>s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não apresentam imagens claras</w:t>
      </w:r>
      <w:r w:rsidRPr="00F041C2">
        <w:rPr>
          <w:rFonts w:ascii="Arial" w:hAnsi="Arial" w:cs="Arial"/>
          <w:sz w:val="24"/>
          <w:lang w:val="pt-BR"/>
        </w:rPr>
        <w:t xml:space="preserve">, impossibilitando que seja visto o </w:t>
      </w:r>
      <w:r w:rsidR="0046580E">
        <w:rPr>
          <w:rFonts w:ascii="Arial" w:hAnsi="Arial" w:cs="Arial"/>
          <w:sz w:val="24"/>
          <w:lang w:val="pt-BR"/>
        </w:rPr>
        <w:t>objeto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que supostamente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seria</w:t>
      </w:r>
      <w:r w:rsidRPr="00F041C2">
        <w:rPr>
          <w:rFonts w:ascii="Arial" w:hAnsi="Arial" w:cs="Arial"/>
          <w:sz w:val="24"/>
          <w:lang w:val="pt-BR"/>
        </w:rPr>
        <w:t xml:space="preserve"> repassado entre os indivíduos</w:t>
      </w:r>
      <w:r w:rsidR="004068F0">
        <w:rPr>
          <w:rFonts w:ascii="Arial" w:hAnsi="Arial" w:cs="Arial"/>
          <w:sz w:val="24"/>
          <w:lang w:val="pt-BR"/>
        </w:rPr>
        <w:t xml:space="preserve">. </w:t>
      </w:r>
      <w:r w:rsidR="00E250E9">
        <w:rPr>
          <w:rFonts w:ascii="Arial" w:hAnsi="Arial" w:cs="Arial"/>
          <w:sz w:val="24"/>
          <w:lang w:val="pt-BR"/>
        </w:rPr>
        <w:t>Não se observa, portanto, qualquer ato de mercancia entre o apelante e o</w:t>
      </w:r>
      <w:r w:rsidR="007C73EB">
        <w:rPr>
          <w:rFonts w:ascii="Arial" w:hAnsi="Arial" w:cs="Arial"/>
          <w:sz w:val="24"/>
          <w:lang w:val="pt-BR"/>
        </w:rPr>
        <w:t xml:space="preserve"> usuário</w:t>
      </w:r>
      <w:r w:rsidR="00E250E9">
        <w:rPr>
          <w:rFonts w:ascii="Arial" w:hAnsi="Arial" w:cs="Arial"/>
          <w:sz w:val="24"/>
          <w:lang w:val="pt-BR"/>
        </w:rPr>
        <w:t>.</w:t>
      </w:r>
      <w:r w:rsidR="007C73EB">
        <w:rPr>
          <w:rFonts w:ascii="Arial" w:hAnsi="Arial" w:cs="Arial"/>
          <w:sz w:val="24"/>
          <w:lang w:val="pt-BR"/>
        </w:rPr>
        <w:t xml:space="preserve"> Ademais, não há depoimento testemunhal seguro no que tange ao tráfico.</w:t>
      </w:r>
    </w:p>
    <w:p w14:paraId="3BD79BCC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67F90E1" w14:textId="7B16801A" w:rsid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Considerando não haver</w:t>
      </w:r>
      <w:r w:rsidR="00F041C2" w:rsidRPr="00F041C2">
        <w:rPr>
          <w:rFonts w:ascii="Arial" w:hAnsi="Arial" w:cs="Arial"/>
          <w:sz w:val="24"/>
          <w:lang w:val="pt-BR"/>
        </w:rPr>
        <w:t xml:space="preserve"> certeza sobre a realidade dos fatos, em </w:t>
      </w:r>
      <w:r>
        <w:rPr>
          <w:rFonts w:ascii="Arial" w:hAnsi="Arial" w:cs="Arial"/>
          <w:sz w:val="24"/>
          <w:lang w:val="pt-BR"/>
        </w:rPr>
        <w:t>atenção ao</w:t>
      </w:r>
      <w:r w:rsidR="00F041C2" w:rsidRPr="00F041C2">
        <w:rPr>
          <w:rFonts w:ascii="Arial" w:hAnsi="Arial" w:cs="Arial"/>
          <w:sz w:val="24"/>
          <w:lang w:val="pt-BR"/>
        </w:rPr>
        <w:t xml:space="preserve"> do princípio do </w:t>
      </w:r>
      <w:r w:rsidR="00F041C2" w:rsidRPr="0046580E">
        <w:rPr>
          <w:rFonts w:ascii="Arial" w:hAnsi="Arial" w:cs="Arial"/>
          <w:i/>
          <w:iCs/>
          <w:sz w:val="24"/>
          <w:lang w:val="pt-BR"/>
        </w:rPr>
        <w:t>in dubio pro reo</w:t>
      </w:r>
      <w:r w:rsidR="00F041C2" w:rsidRPr="00F041C2">
        <w:rPr>
          <w:rFonts w:ascii="Arial" w:hAnsi="Arial" w:cs="Arial"/>
          <w:sz w:val="24"/>
          <w:lang w:val="pt-BR"/>
        </w:rPr>
        <w:t xml:space="preserve">, qualquer dúvida sobre o acontecimento deveria ter sido interpretada a favor do réu, o que não </w:t>
      </w:r>
      <w:r>
        <w:rPr>
          <w:rFonts w:ascii="Arial" w:hAnsi="Arial" w:cs="Arial"/>
          <w:sz w:val="24"/>
          <w:lang w:val="pt-BR"/>
        </w:rPr>
        <w:t>ocorreu</w:t>
      </w:r>
      <w:r w:rsidR="00F041C2" w:rsidRPr="00F041C2">
        <w:rPr>
          <w:rFonts w:ascii="Arial" w:hAnsi="Arial" w:cs="Arial"/>
          <w:sz w:val="24"/>
          <w:lang w:val="pt-BR"/>
        </w:rPr>
        <w:t xml:space="preserve">. </w:t>
      </w:r>
    </w:p>
    <w:p w14:paraId="64E39548" w14:textId="77777777" w:rsidR="004068F0" w:rsidRPr="00F041C2" w:rsidRDefault="004068F0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6E5EC85" w14:textId="738F07F3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Outr</w:t>
      </w:r>
      <w:r w:rsidR="0046580E">
        <w:rPr>
          <w:rFonts w:ascii="Arial" w:hAnsi="Arial" w:cs="Arial"/>
          <w:sz w:val="24"/>
          <w:lang w:val="pt-BR"/>
        </w:rPr>
        <w:t>a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questão</w:t>
      </w:r>
      <w:r w:rsidRPr="00F041C2">
        <w:rPr>
          <w:rFonts w:ascii="Arial" w:hAnsi="Arial" w:cs="Arial"/>
          <w:sz w:val="24"/>
          <w:lang w:val="pt-BR"/>
        </w:rPr>
        <w:t xml:space="preserve"> que não foi </w:t>
      </w:r>
      <w:r w:rsidR="0046580E">
        <w:rPr>
          <w:rFonts w:ascii="Arial" w:hAnsi="Arial" w:cs="Arial"/>
          <w:sz w:val="24"/>
          <w:lang w:val="pt-BR"/>
        </w:rPr>
        <w:t>considerada</w:t>
      </w:r>
      <w:r w:rsidRPr="00F041C2">
        <w:rPr>
          <w:rFonts w:ascii="Arial" w:hAnsi="Arial" w:cs="Arial"/>
          <w:sz w:val="24"/>
          <w:lang w:val="pt-BR"/>
        </w:rPr>
        <w:t xml:space="preserve"> pela </w:t>
      </w:r>
      <w:r w:rsidR="0046580E">
        <w:rPr>
          <w:rFonts w:ascii="Arial" w:hAnsi="Arial" w:cs="Arial"/>
          <w:sz w:val="24"/>
          <w:lang w:val="pt-BR"/>
        </w:rPr>
        <w:t>decisão recorrida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se refere ao fato de</w:t>
      </w:r>
      <w:r w:rsidRPr="00F041C2">
        <w:rPr>
          <w:rFonts w:ascii="Arial" w:hAnsi="Arial" w:cs="Arial"/>
          <w:sz w:val="24"/>
          <w:lang w:val="pt-BR"/>
        </w:rPr>
        <w:t xml:space="preserve"> que </w:t>
      </w:r>
      <w:r w:rsidRPr="00DA338C">
        <w:rPr>
          <w:rFonts w:ascii="Arial" w:hAnsi="Arial" w:cs="Arial"/>
          <w:b/>
          <w:bCs/>
          <w:sz w:val="24"/>
          <w:lang w:val="pt-BR"/>
        </w:rPr>
        <w:t xml:space="preserve">a única testemunha, </w:t>
      </w:r>
      <w:r w:rsidR="0046580E" w:rsidRPr="00DA338C">
        <w:rPr>
          <w:rFonts w:ascii="Arial" w:hAnsi="Arial" w:cs="Arial"/>
          <w:b/>
          <w:bCs/>
          <w:sz w:val="24"/>
          <w:lang w:val="pt-BR"/>
        </w:rPr>
        <w:t>exceto</w:t>
      </w:r>
      <w:r w:rsidRPr="00DA338C">
        <w:rPr>
          <w:rFonts w:ascii="Arial" w:hAnsi="Arial" w:cs="Arial"/>
          <w:b/>
          <w:bCs/>
          <w:sz w:val="24"/>
          <w:lang w:val="pt-BR"/>
        </w:rPr>
        <w:t xml:space="preserve"> os policiais que fizeram a abordagem, não foi ouvida em juízo</w:t>
      </w:r>
      <w:r w:rsidRPr="00F041C2">
        <w:rPr>
          <w:rFonts w:ascii="Arial" w:hAnsi="Arial" w:cs="Arial"/>
          <w:sz w:val="24"/>
          <w:lang w:val="pt-BR"/>
        </w:rPr>
        <w:t xml:space="preserve">, mas apenas na fase inquisitorial. </w:t>
      </w:r>
      <w:r w:rsidR="0046580E">
        <w:rPr>
          <w:rFonts w:ascii="Arial" w:hAnsi="Arial" w:cs="Arial"/>
          <w:sz w:val="24"/>
          <w:lang w:val="pt-BR"/>
        </w:rPr>
        <w:t xml:space="preserve">Assim, o órgão acusatório, apesar de ter arrolado o </w:t>
      </w:r>
      <w:r w:rsidR="007C73EB">
        <w:rPr>
          <w:rFonts w:ascii="Arial" w:hAnsi="Arial" w:cs="Arial"/>
          <w:sz w:val="24"/>
          <w:lang w:val="pt-BR"/>
        </w:rPr>
        <w:t>usuário</w:t>
      </w:r>
      <w:r w:rsidR="0046580E">
        <w:rPr>
          <w:rFonts w:ascii="Arial" w:hAnsi="Arial" w:cs="Arial"/>
          <w:sz w:val="24"/>
          <w:lang w:val="pt-BR"/>
        </w:rPr>
        <w:t xml:space="preserve"> na qualidade de testemunha, optou por não proceder à sua oitiva em juízo, o que </w:t>
      </w:r>
      <w:r w:rsidR="0046580E" w:rsidRPr="00DA338C">
        <w:rPr>
          <w:rFonts w:ascii="Arial" w:hAnsi="Arial" w:cs="Arial"/>
          <w:b/>
          <w:bCs/>
          <w:sz w:val="24"/>
          <w:lang w:val="pt-BR"/>
        </w:rPr>
        <w:t xml:space="preserve">inviabiliza a utilização das declarações </w:t>
      </w:r>
      <w:r w:rsidR="007C73EB">
        <w:rPr>
          <w:rFonts w:ascii="Arial" w:hAnsi="Arial" w:cs="Arial"/>
          <w:b/>
          <w:bCs/>
          <w:sz w:val="24"/>
          <w:lang w:val="pt-BR"/>
        </w:rPr>
        <w:t>da testemunha</w:t>
      </w:r>
      <w:r w:rsidR="0046580E">
        <w:rPr>
          <w:rFonts w:ascii="Arial" w:hAnsi="Arial" w:cs="Arial"/>
          <w:sz w:val="24"/>
          <w:lang w:val="pt-BR"/>
        </w:rPr>
        <w:t>.</w:t>
      </w:r>
    </w:p>
    <w:p w14:paraId="79E90E74" w14:textId="77777777" w:rsidR="0046580E" w:rsidRPr="00F041C2" w:rsidRDefault="0046580E" w:rsidP="004068F0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5DAF698E" w14:textId="46AA6AE3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</w:t>
      </w:r>
      <w:r w:rsidR="00733BDA">
        <w:rPr>
          <w:rFonts w:ascii="Arial" w:hAnsi="Arial" w:cs="Arial"/>
          <w:sz w:val="24"/>
          <w:lang w:val="pt-BR"/>
        </w:rPr>
        <w:t>apelante</w:t>
      </w:r>
      <w:r w:rsidRPr="00F041C2">
        <w:rPr>
          <w:rFonts w:ascii="Arial" w:hAnsi="Arial" w:cs="Arial"/>
          <w:sz w:val="24"/>
          <w:lang w:val="pt-BR"/>
        </w:rPr>
        <w:t xml:space="preserve"> afirmou, em sede de interrogatório, que </w:t>
      </w:r>
      <w:r w:rsidR="00733BDA">
        <w:rPr>
          <w:rFonts w:ascii="Arial" w:hAnsi="Arial" w:cs="Arial"/>
          <w:sz w:val="24"/>
          <w:lang w:val="pt-BR"/>
        </w:rPr>
        <w:t xml:space="preserve">ele e o </w:t>
      </w:r>
      <w:r w:rsidR="009E75B6">
        <w:rPr>
          <w:rFonts w:ascii="Arial" w:hAnsi="Arial" w:cs="Arial"/>
          <w:sz w:val="24"/>
          <w:lang w:val="pt-BR"/>
        </w:rPr>
        <w:t>usuário</w:t>
      </w:r>
      <w:r w:rsidRPr="00F041C2">
        <w:rPr>
          <w:rFonts w:ascii="Arial" w:hAnsi="Arial" w:cs="Arial"/>
          <w:sz w:val="24"/>
          <w:lang w:val="pt-BR"/>
        </w:rPr>
        <w:t xml:space="preserve"> já se conheciam da rua</w:t>
      </w:r>
      <w:r w:rsidR="00733BDA">
        <w:rPr>
          <w:rFonts w:ascii="Arial" w:hAnsi="Arial" w:cs="Arial"/>
          <w:sz w:val="24"/>
          <w:lang w:val="pt-BR"/>
        </w:rPr>
        <w:t>;</w:t>
      </w:r>
      <w:r w:rsidRPr="00F041C2">
        <w:rPr>
          <w:rFonts w:ascii="Arial" w:hAnsi="Arial" w:cs="Arial"/>
          <w:sz w:val="24"/>
          <w:lang w:val="pt-BR"/>
        </w:rPr>
        <w:t xml:space="preserve"> já haviam fumado juntos</w:t>
      </w:r>
      <w:r w:rsidR="00733BDA">
        <w:rPr>
          <w:rFonts w:ascii="Arial" w:hAnsi="Arial" w:cs="Arial"/>
          <w:sz w:val="24"/>
          <w:lang w:val="pt-BR"/>
        </w:rPr>
        <w:t>;</w:t>
      </w:r>
      <w:r w:rsidRPr="00F041C2">
        <w:rPr>
          <w:rFonts w:ascii="Arial" w:hAnsi="Arial" w:cs="Arial"/>
          <w:sz w:val="24"/>
          <w:lang w:val="pt-BR"/>
        </w:rPr>
        <w:t xml:space="preserve"> e que</w:t>
      </w:r>
      <w:r w:rsidR="00733BDA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no dia dos fatos</w:t>
      </w:r>
      <w:r w:rsidR="00733BDA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havia </w:t>
      </w:r>
      <w:r w:rsidR="00733BDA">
        <w:rPr>
          <w:rFonts w:ascii="Arial" w:hAnsi="Arial" w:cs="Arial"/>
          <w:sz w:val="24"/>
          <w:lang w:val="pt-BR"/>
        </w:rPr>
        <w:t>entregue</w:t>
      </w:r>
      <w:r w:rsidRPr="00F041C2">
        <w:rPr>
          <w:rFonts w:ascii="Arial" w:hAnsi="Arial" w:cs="Arial"/>
          <w:sz w:val="24"/>
          <w:lang w:val="pt-BR"/>
        </w:rPr>
        <w:t xml:space="preserve">, </w:t>
      </w:r>
      <w:r w:rsidRPr="00DA338C">
        <w:rPr>
          <w:rFonts w:ascii="Arial" w:hAnsi="Arial" w:cs="Arial"/>
          <w:b/>
          <w:bCs/>
          <w:sz w:val="24"/>
          <w:lang w:val="pt-BR"/>
        </w:rPr>
        <w:t>sem qualquer pagamento</w:t>
      </w:r>
      <w:r w:rsidRPr="00F041C2">
        <w:rPr>
          <w:rFonts w:ascii="Arial" w:hAnsi="Arial" w:cs="Arial"/>
          <w:sz w:val="24"/>
          <w:lang w:val="pt-BR"/>
        </w:rPr>
        <w:t xml:space="preserve">, droga a </w:t>
      </w:r>
      <w:r w:rsidR="009E75B6">
        <w:rPr>
          <w:rFonts w:ascii="Arial" w:hAnsi="Arial" w:cs="Arial"/>
          <w:sz w:val="24"/>
          <w:lang w:val="pt-BR"/>
        </w:rPr>
        <w:t>ele</w:t>
      </w:r>
      <w:r w:rsidRPr="00F041C2">
        <w:rPr>
          <w:rFonts w:ascii="Arial" w:hAnsi="Arial" w:cs="Arial"/>
          <w:sz w:val="24"/>
          <w:lang w:val="pt-BR"/>
        </w:rPr>
        <w:t xml:space="preserve"> como forma de agradecimento por um favor. </w:t>
      </w:r>
      <w:r w:rsidR="00CC7842">
        <w:rPr>
          <w:rFonts w:ascii="Arial" w:hAnsi="Arial" w:cs="Arial"/>
          <w:sz w:val="24"/>
          <w:lang w:val="pt-BR"/>
        </w:rPr>
        <w:lastRenderedPageBreak/>
        <w:t>O</w:t>
      </w:r>
      <w:r w:rsidRPr="00F041C2">
        <w:rPr>
          <w:rFonts w:ascii="Arial" w:hAnsi="Arial" w:cs="Arial"/>
          <w:sz w:val="24"/>
          <w:lang w:val="pt-BR"/>
        </w:rPr>
        <w:t xml:space="preserve"> apelante </w:t>
      </w:r>
      <w:r w:rsidR="00CC7842">
        <w:rPr>
          <w:rFonts w:ascii="Arial" w:hAnsi="Arial" w:cs="Arial"/>
          <w:sz w:val="24"/>
          <w:lang w:val="pt-BR"/>
        </w:rPr>
        <w:t xml:space="preserve">afirmou </w:t>
      </w:r>
      <w:r w:rsidRPr="00F041C2">
        <w:rPr>
          <w:rFonts w:ascii="Arial" w:hAnsi="Arial" w:cs="Arial"/>
          <w:sz w:val="24"/>
          <w:lang w:val="pt-BR"/>
        </w:rPr>
        <w:t xml:space="preserve">que era comum </w:t>
      </w:r>
      <w:r w:rsidR="00CC7842">
        <w:rPr>
          <w:rFonts w:ascii="Arial" w:hAnsi="Arial" w:cs="Arial"/>
          <w:sz w:val="24"/>
          <w:lang w:val="pt-BR"/>
        </w:rPr>
        <w:t>que ambos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CC7842">
        <w:rPr>
          <w:rFonts w:ascii="Arial" w:hAnsi="Arial" w:cs="Arial"/>
          <w:sz w:val="24"/>
          <w:lang w:val="pt-BR"/>
        </w:rPr>
        <w:t>fumassem</w:t>
      </w:r>
      <w:r w:rsidRPr="00F041C2">
        <w:rPr>
          <w:rFonts w:ascii="Arial" w:hAnsi="Arial" w:cs="Arial"/>
          <w:sz w:val="24"/>
          <w:lang w:val="pt-BR"/>
        </w:rPr>
        <w:t xml:space="preserve"> conjuntamente e que </w:t>
      </w:r>
      <w:r w:rsidR="009E75B6">
        <w:rPr>
          <w:rFonts w:ascii="Arial" w:hAnsi="Arial" w:cs="Arial"/>
          <w:sz w:val="24"/>
          <w:lang w:val="pt-BR"/>
        </w:rPr>
        <w:t>o usuário</w:t>
      </w:r>
      <w:r w:rsidRPr="00F041C2">
        <w:rPr>
          <w:rFonts w:ascii="Arial" w:hAnsi="Arial" w:cs="Arial"/>
          <w:sz w:val="24"/>
          <w:lang w:val="pt-BR"/>
        </w:rPr>
        <w:t xml:space="preserve"> já havia</w:t>
      </w:r>
      <w:r w:rsidR="00CC7842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ofertado entorpecentes para consumirem juntos</w:t>
      </w:r>
      <w:r w:rsidR="00CC7842">
        <w:rPr>
          <w:rFonts w:ascii="Arial" w:hAnsi="Arial" w:cs="Arial"/>
          <w:sz w:val="24"/>
          <w:lang w:val="pt-BR"/>
        </w:rPr>
        <w:t xml:space="preserve"> em oportunidade pretérita</w:t>
      </w:r>
      <w:r w:rsidRPr="00F041C2">
        <w:rPr>
          <w:rFonts w:ascii="Arial" w:hAnsi="Arial" w:cs="Arial"/>
          <w:sz w:val="24"/>
          <w:lang w:val="pt-BR"/>
        </w:rPr>
        <w:t xml:space="preserve">. </w:t>
      </w:r>
    </w:p>
    <w:p w14:paraId="6DA7D877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D71521D" w14:textId="7580FDB9" w:rsidR="00F041C2" w:rsidRDefault="00CC784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É necessário</w:t>
      </w:r>
      <w:r w:rsidR="00F041C2" w:rsidRPr="00F041C2">
        <w:rPr>
          <w:rFonts w:ascii="Arial" w:hAnsi="Arial" w:cs="Arial"/>
          <w:sz w:val="24"/>
          <w:lang w:val="pt-BR"/>
        </w:rPr>
        <w:t xml:space="preserve"> observar que, em razão do depoimento ter sido colhido apenas pela autoridade policial, sem observância dos princípios organizadores do direito processual penal, não se sabe como esse testemunho foi colhido. </w:t>
      </w:r>
      <w:r w:rsidR="00F041C2" w:rsidRPr="00DE48C9">
        <w:rPr>
          <w:rFonts w:ascii="Arial" w:hAnsi="Arial" w:cs="Arial"/>
          <w:b/>
          <w:bCs/>
          <w:sz w:val="24"/>
          <w:lang w:val="pt-BR"/>
        </w:rPr>
        <w:t xml:space="preserve">É plenamente aceitável que, por medo de ser taxado como traficante e responder penalmente, </w:t>
      </w:r>
      <w:r w:rsidR="009E75B6">
        <w:rPr>
          <w:rFonts w:ascii="Arial" w:hAnsi="Arial" w:cs="Arial"/>
          <w:b/>
          <w:bCs/>
          <w:sz w:val="24"/>
          <w:lang w:val="pt-BR"/>
        </w:rPr>
        <w:t>o usuário</w:t>
      </w:r>
      <w:r w:rsidR="00F041C2" w:rsidRPr="00DE48C9">
        <w:rPr>
          <w:rFonts w:ascii="Arial" w:hAnsi="Arial" w:cs="Arial"/>
          <w:b/>
          <w:bCs/>
          <w:sz w:val="24"/>
          <w:lang w:val="pt-BR"/>
        </w:rPr>
        <w:t xml:space="preserve"> tenha dito que comprou a droga, desviando </w:t>
      </w:r>
      <w:r w:rsidR="00DE48C9">
        <w:rPr>
          <w:rFonts w:ascii="Arial" w:hAnsi="Arial" w:cs="Arial"/>
          <w:b/>
          <w:bCs/>
          <w:sz w:val="24"/>
          <w:lang w:val="pt-BR"/>
        </w:rPr>
        <w:t>a atenção</w:t>
      </w:r>
      <w:r w:rsidR="00F041C2" w:rsidRPr="00DE48C9">
        <w:rPr>
          <w:rFonts w:ascii="Arial" w:hAnsi="Arial" w:cs="Arial"/>
          <w:b/>
          <w:bCs/>
          <w:sz w:val="24"/>
          <w:lang w:val="pt-BR"/>
        </w:rPr>
        <w:t xml:space="preserve"> apenas para </w:t>
      </w:r>
      <w:r w:rsidRPr="00DE48C9">
        <w:rPr>
          <w:rFonts w:ascii="Arial" w:hAnsi="Arial" w:cs="Arial"/>
          <w:b/>
          <w:bCs/>
          <w:sz w:val="24"/>
          <w:lang w:val="pt-BR"/>
        </w:rPr>
        <w:t>o apelante</w:t>
      </w:r>
      <w:r w:rsidR="00DE48C9">
        <w:rPr>
          <w:rFonts w:ascii="Arial" w:hAnsi="Arial" w:cs="Arial"/>
          <w:sz w:val="24"/>
          <w:lang w:val="pt-BR"/>
        </w:rPr>
        <w:t xml:space="preserve"> (inclusive não há qualquer imputação penal ao </w:t>
      </w:r>
      <w:r w:rsidR="009E75B6">
        <w:rPr>
          <w:rFonts w:ascii="Arial" w:hAnsi="Arial" w:cs="Arial"/>
          <w:sz w:val="24"/>
          <w:lang w:val="pt-BR"/>
        </w:rPr>
        <w:t>usuário</w:t>
      </w:r>
      <w:r w:rsidR="00DE48C9">
        <w:rPr>
          <w:rFonts w:ascii="Arial" w:hAnsi="Arial" w:cs="Arial"/>
          <w:sz w:val="24"/>
          <w:lang w:val="pt-BR"/>
        </w:rPr>
        <w:t>)</w:t>
      </w:r>
      <w:r w:rsidR="00F041C2" w:rsidRPr="00F041C2">
        <w:rPr>
          <w:rFonts w:ascii="Arial" w:hAnsi="Arial" w:cs="Arial"/>
          <w:sz w:val="24"/>
          <w:lang w:val="pt-BR"/>
        </w:rPr>
        <w:t>.</w:t>
      </w:r>
    </w:p>
    <w:p w14:paraId="2F6F83B4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F680118" w14:textId="312D892B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Ademais, </w:t>
      </w:r>
      <w:r w:rsidRPr="00CC7842">
        <w:rPr>
          <w:rFonts w:ascii="Arial" w:hAnsi="Arial" w:cs="Arial"/>
          <w:b/>
          <w:bCs/>
          <w:sz w:val="24"/>
          <w:lang w:val="pt-BR"/>
        </w:rPr>
        <w:t>a quantidade de droga encontrada é baixíssima</w:t>
      </w:r>
      <w:r w:rsidRPr="00F041C2">
        <w:rPr>
          <w:rFonts w:ascii="Arial" w:hAnsi="Arial" w:cs="Arial"/>
          <w:sz w:val="24"/>
          <w:lang w:val="pt-BR"/>
        </w:rPr>
        <w:t xml:space="preserve">, sendo inteiramente possível que o apelante tenha dado uma pequena parte para </w:t>
      </w:r>
      <w:r w:rsidR="006A4989">
        <w:rPr>
          <w:rFonts w:ascii="Arial" w:hAnsi="Arial" w:cs="Arial"/>
          <w:sz w:val="24"/>
          <w:lang w:val="pt-BR"/>
        </w:rPr>
        <w:t>o usuário</w:t>
      </w:r>
      <w:r w:rsidRPr="00F041C2">
        <w:rPr>
          <w:rFonts w:ascii="Arial" w:hAnsi="Arial" w:cs="Arial"/>
          <w:sz w:val="24"/>
          <w:lang w:val="pt-BR"/>
        </w:rPr>
        <w:t xml:space="preserve"> e ficado com oura quantidade similar. </w:t>
      </w:r>
    </w:p>
    <w:p w14:paraId="2DD9F100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2C0A36F" w14:textId="2A09A466" w:rsidR="00F041C2" w:rsidRPr="0014395C" w:rsidRDefault="006A4989" w:rsidP="0014395C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Destaca-se que</w:t>
      </w:r>
      <w:r w:rsidR="00F041C2" w:rsidRPr="00F041C2">
        <w:rPr>
          <w:rFonts w:ascii="Arial" w:hAnsi="Arial" w:cs="Arial"/>
          <w:sz w:val="24"/>
          <w:lang w:val="pt-BR"/>
        </w:rPr>
        <w:t xml:space="preserve"> </w:t>
      </w:r>
      <w:r w:rsidR="004068F0">
        <w:rPr>
          <w:rFonts w:ascii="Arial" w:hAnsi="Arial" w:cs="Arial"/>
          <w:sz w:val="24"/>
          <w:lang w:val="pt-BR"/>
        </w:rPr>
        <w:t xml:space="preserve">os policiais </w:t>
      </w:r>
      <w:r w:rsidR="00F041C2" w:rsidRPr="00C333EB">
        <w:rPr>
          <w:rFonts w:ascii="Arial" w:hAnsi="Arial" w:cs="Arial"/>
          <w:b/>
          <w:bCs/>
          <w:sz w:val="24"/>
          <w:lang w:val="pt-BR"/>
        </w:rPr>
        <w:t xml:space="preserve">não tinham qualquer notícia anterior de que o </w:t>
      </w:r>
      <w:r w:rsidR="00C333EB" w:rsidRPr="00C333EB">
        <w:rPr>
          <w:rFonts w:ascii="Arial" w:hAnsi="Arial" w:cs="Arial"/>
          <w:b/>
          <w:bCs/>
          <w:sz w:val="24"/>
          <w:lang w:val="pt-BR"/>
        </w:rPr>
        <w:t>apelante</w:t>
      </w:r>
      <w:r w:rsidR="00F041C2" w:rsidRPr="00C333EB">
        <w:rPr>
          <w:rFonts w:ascii="Arial" w:hAnsi="Arial" w:cs="Arial"/>
          <w:b/>
          <w:bCs/>
          <w:sz w:val="24"/>
          <w:lang w:val="pt-BR"/>
        </w:rPr>
        <w:t xml:space="preserve"> era traficante no local</w:t>
      </w:r>
      <w:r w:rsidR="00F041C2" w:rsidRPr="0014395C">
        <w:rPr>
          <w:rFonts w:ascii="Arial" w:hAnsi="Arial" w:cs="Arial"/>
          <w:sz w:val="24"/>
          <w:lang w:val="pt-BR"/>
        </w:rPr>
        <w:t xml:space="preserve">. </w:t>
      </w:r>
    </w:p>
    <w:p w14:paraId="5788143C" w14:textId="77777777" w:rsidR="00C333EB" w:rsidRPr="00F041C2" w:rsidRDefault="00C333EB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4B156A3" w14:textId="417674F4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Nesse sentido, inexistindo provas de que tenha havido venda de entorpecentes, dolo de difusão ilícita</w:t>
      </w:r>
      <w:r w:rsidR="002E3C5B">
        <w:rPr>
          <w:rFonts w:ascii="Arial" w:hAnsi="Arial" w:cs="Arial"/>
          <w:sz w:val="24"/>
          <w:lang w:val="pt-BR"/>
        </w:rPr>
        <w:t xml:space="preserve"> ou</w:t>
      </w:r>
      <w:r w:rsidRPr="00F041C2">
        <w:rPr>
          <w:rFonts w:ascii="Arial" w:hAnsi="Arial" w:cs="Arial"/>
          <w:sz w:val="24"/>
          <w:lang w:val="pt-BR"/>
        </w:rPr>
        <w:t xml:space="preserve"> qualquer motivação para não crer </w:t>
      </w:r>
      <w:r w:rsidR="002E3C5B">
        <w:rPr>
          <w:rFonts w:ascii="Arial" w:hAnsi="Arial" w:cs="Arial"/>
          <w:sz w:val="24"/>
          <w:lang w:val="pt-BR"/>
        </w:rPr>
        <w:t>no depoimento do</w:t>
      </w:r>
      <w:r w:rsidRPr="00F041C2">
        <w:rPr>
          <w:rFonts w:ascii="Arial" w:hAnsi="Arial" w:cs="Arial"/>
          <w:sz w:val="24"/>
          <w:lang w:val="pt-BR"/>
        </w:rPr>
        <w:t xml:space="preserve"> apelante, requer a reforma da sentença para desclassificar a conduta para a prevista no artigo 33, §3º da Lei 11.343/06, vez que se verifica verdadeiro caso de uso compartilhado de entorpecentes.</w:t>
      </w:r>
    </w:p>
    <w:p w14:paraId="40CC3274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01E1052" w14:textId="46342426" w:rsidR="00F041C2" w:rsidRPr="00F041C2" w:rsidRDefault="00F041C2" w:rsidP="00F041C2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>
        <w:rPr>
          <w:rFonts w:ascii="Arial" w:hAnsi="Arial" w:cs="Arial"/>
          <w:sz w:val="24"/>
          <w:szCs w:val="24"/>
          <w:lang w:val="pt-BR" w:eastAsia="en-US"/>
        </w:rPr>
        <w:t>DA DOSIMETRIA</w:t>
      </w:r>
    </w:p>
    <w:p w14:paraId="27480025" w14:textId="103A5D31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7ECDEE7" w14:textId="1415ED09" w:rsidR="00F041C2" w:rsidRPr="00F041C2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A título argumentativo</w:t>
      </w:r>
      <w:r w:rsidR="00F041C2" w:rsidRPr="00F041C2">
        <w:rPr>
          <w:rFonts w:ascii="Arial" w:hAnsi="Arial" w:cs="Arial"/>
          <w:sz w:val="24"/>
          <w:lang w:val="pt-BR"/>
        </w:rPr>
        <w:t>, permanecendo a condenação pelo crime de tráfico, o apelante se insurge da sentença objetivando rever a dosimetria da pena que foi aplicada, já que em desacordo com a jurisprudência recente, bem como com a legislação pátria.</w:t>
      </w:r>
    </w:p>
    <w:p w14:paraId="2F6A727E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530186F" w14:textId="6802A344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lastRenderedPageBreak/>
        <w:t>Verifica-se que</w:t>
      </w:r>
      <w:r w:rsidR="00B92A68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na </w:t>
      </w:r>
      <w:r w:rsidR="00B92A68" w:rsidRPr="00F041C2">
        <w:rPr>
          <w:rFonts w:ascii="Arial" w:hAnsi="Arial" w:cs="Arial"/>
          <w:sz w:val="24"/>
          <w:lang w:val="pt-BR"/>
        </w:rPr>
        <w:t>primeira fase da dosimetria da pena</w:t>
      </w:r>
      <w:r w:rsidR="00B92A68">
        <w:rPr>
          <w:rFonts w:ascii="Arial" w:hAnsi="Arial" w:cs="Arial"/>
          <w:sz w:val="24"/>
          <w:lang w:val="pt-BR"/>
        </w:rPr>
        <w:t>,</w:t>
      </w:r>
      <w:r w:rsidR="00B92A68" w:rsidRPr="00F041C2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 xml:space="preserve">a </w:t>
      </w:r>
      <w:r w:rsidR="00B92A68">
        <w:rPr>
          <w:rFonts w:ascii="Arial" w:hAnsi="Arial" w:cs="Arial"/>
          <w:sz w:val="24"/>
          <w:lang w:val="pt-BR"/>
        </w:rPr>
        <w:t>sentença</w:t>
      </w:r>
      <w:r w:rsidRPr="00F041C2">
        <w:rPr>
          <w:rFonts w:ascii="Arial" w:hAnsi="Arial" w:cs="Arial"/>
          <w:sz w:val="24"/>
          <w:lang w:val="pt-BR"/>
        </w:rPr>
        <w:t xml:space="preserve"> exasperou a pena-base em razão da natureza da droga, fixando a pena em 6 anos e 600 dias-multa. Ou seja, </w:t>
      </w:r>
      <w:r w:rsidR="00C03137" w:rsidRPr="00C03137">
        <w:rPr>
          <w:rFonts w:ascii="Arial" w:hAnsi="Arial" w:cs="Arial"/>
          <w:b/>
          <w:bCs/>
          <w:sz w:val="24"/>
          <w:lang w:val="pt-BR"/>
        </w:rPr>
        <w:t>unicamente em razão da natureza da droga, a decisão recorrida exasperou</w:t>
      </w:r>
      <w:r w:rsidRPr="00C03137">
        <w:rPr>
          <w:rFonts w:ascii="Arial" w:hAnsi="Arial" w:cs="Arial"/>
          <w:b/>
          <w:bCs/>
          <w:sz w:val="24"/>
          <w:lang w:val="pt-BR"/>
        </w:rPr>
        <w:t xml:space="preserve"> a pena-base em 12 meses para a circunstância judicial valorada negativamente</w:t>
      </w:r>
      <w:r w:rsidR="00C03137" w:rsidRPr="00C03137">
        <w:rPr>
          <w:rFonts w:ascii="Arial" w:hAnsi="Arial" w:cs="Arial"/>
          <w:b/>
          <w:bCs/>
          <w:sz w:val="24"/>
          <w:lang w:val="pt-BR"/>
        </w:rPr>
        <w:t>, sem considerar, todavia, a quantidade da substância</w:t>
      </w:r>
      <w:r w:rsidRPr="00C03137">
        <w:rPr>
          <w:rFonts w:ascii="Arial" w:hAnsi="Arial" w:cs="Arial"/>
          <w:b/>
          <w:bCs/>
          <w:sz w:val="24"/>
          <w:lang w:val="pt-BR"/>
        </w:rPr>
        <w:t>.</w:t>
      </w:r>
      <w:r w:rsidRPr="00F041C2">
        <w:rPr>
          <w:rFonts w:ascii="Arial" w:hAnsi="Arial" w:cs="Arial"/>
          <w:sz w:val="24"/>
          <w:lang w:val="pt-BR"/>
        </w:rPr>
        <w:t xml:space="preserve"> </w:t>
      </w:r>
    </w:p>
    <w:p w14:paraId="06C6B0C4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1265656" w14:textId="71232761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Com relação à exasperação pela natureza da droga, em que a </w:t>
      </w:r>
      <w:r w:rsidR="00C03137">
        <w:rPr>
          <w:rFonts w:ascii="Arial" w:hAnsi="Arial" w:cs="Arial"/>
          <w:sz w:val="24"/>
          <w:lang w:val="pt-BR"/>
        </w:rPr>
        <w:t>sentença</w:t>
      </w:r>
      <w:r w:rsidRPr="00F041C2">
        <w:rPr>
          <w:rFonts w:ascii="Arial" w:hAnsi="Arial" w:cs="Arial"/>
          <w:sz w:val="24"/>
          <w:lang w:val="pt-BR"/>
        </w:rPr>
        <w:t xml:space="preserve"> alega ser o crack um entorpecente com alto potencial lesivo à saúde, causador de rápida dependência química, e de difícil recuperação e ressocialização do usuário, observa-se que não merece prosperar. </w:t>
      </w:r>
    </w:p>
    <w:p w14:paraId="0C84026F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C1921FF" w14:textId="78DB78EE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fato de as drogas terem efeitos nocivos à saúde é algo inerente ao tipo penal, já tendo sido considerado pelo legislador no momento da cominação da pena em abstrato. Nesse sentido, valorar negativamente a natureza da droga na fixação da pena-base caracteriza verdadeiro bis in idem. Esse é o entendimento do Tribunal de Justiça do Distrito Federal e </w:t>
      </w:r>
      <w:r w:rsidR="00C43C61">
        <w:rPr>
          <w:rFonts w:ascii="Arial" w:hAnsi="Arial" w:cs="Arial"/>
          <w:sz w:val="24"/>
          <w:lang w:val="pt-BR"/>
        </w:rPr>
        <w:t xml:space="preserve">dos </w:t>
      </w:r>
      <w:r w:rsidRPr="00F041C2">
        <w:rPr>
          <w:rFonts w:ascii="Arial" w:hAnsi="Arial" w:cs="Arial"/>
          <w:sz w:val="24"/>
          <w:lang w:val="pt-BR"/>
        </w:rPr>
        <w:t>Território</w:t>
      </w:r>
      <w:r w:rsidR="00C43C61">
        <w:rPr>
          <w:rFonts w:ascii="Arial" w:hAnsi="Arial" w:cs="Arial"/>
          <w:sz w:val="24"/>
          <w:lang w:val="pt-BR"/>
        </w:rPr>
        <w:t>s</w:t>
      </w:r>
      <w:r w:rsidRPr="00F041C2">
        <w:rPr>
          <w:rFonts w:ascii="Arial" w:hAnsi="Arial" w:cs="Arial"/>
          <w:sz w:val="24"/>
          <w:lang w:val="pt-BR"/>
        </w:rPr>
        <w:t xml:space="preserve">: </w:t>
      </w:r>
    </w:p>
    <w:p w14:paraId="189C259C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B39F859" w14:textId="10969172" w:rsidR="00F041C2" w:rsidRPr="006A4989" w:rsidRDefault="00F041C2" w:rsidP="00C43C61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“Os malefícios causados pelas drogas à sociedade não são </w:t>
      </w:r>
      <w:proofErr w:type="gramStart"/>
      <w:r w:rsidRPr="006A4989">
        <w:rPr>
          <w:rFonts w:ascii="Arial" w:hAnsi="Arial" w:cs="Arial"/>
          <w:sz w:val="20"/>
          <w:szCs w:val="20"/>
          <w:lang w:val="pt-BR"/>
        </w:rPr>
        <w:t>justificativa</w:t>
      </w:r>
      <w:proofErr w:type="gramEnd"/>
      <w:r w:rsidRPr="006A4989">
        <w:rPr>
          <w:rFonts w:ascii="Arial" w:hAnsi="Arial" w:cs="Arial"/>
          <w:sz w:val="20"/>
          <w:szCs w:val="20"/>
          <w:lang w:val="pt-BR"/>
        </w:rPr>
        <w:t xml:space="preserve"> idônea para a valoração negativa dos vetores "circunstâncias" e "consequências do crime" porque genérica e guarda relação com os próprios tipos penais insculpidos nos arts. 33 e 35 da Lei n. 11.343/2006.” (Acórdão n.1059083, 20150111053125APR, Relator: WALDIR LEÔNCIO LOPES JÚNIOR, Revisor: DEMETRIUS GOMES CAVALCANTI, 3ª TURMA CRIMINAL, Data de Julgamento: 09/11/2017, </w:t>
      </w:r>
      <w:proofErr w:type="gramStart"/>
      <w:r w:rsidRPr="006A4989">
        <w:rPr>
          <w:rFonts w:ascii="Arial" w:hAnsi="Arial" w:cs="Arial"/>
          <w:sz w:val="20"/>
          <w:szCs w:val="20"/>
          <w:lang w:val="pt-BR"/>
        </w:rPr>
        <w:t>Publicado</w:t>
      </w:r>
      <w:proofErr w:type="gramEnd"/>
      <w:r w:rsidRPr="006A4989">
        <w:rPr>
          <w:rFonts w:ascii="Arial" w:hAnsi="Arial" w:cs="Arial"/>
          <w:sz w:val="20"/>
          <w:szCs w:val="20"/>
          <w:lang w:val="pt-BR"/>
        </w:rPr>
        <w:t xml:space="preserve"> no DJE: 14/11/2017. Pág.: 248/252)</w:t>
      </w:r>
      <w:r w:rsidR="00C43C61" w:rsidRPr="006A4989">
        <w:rPr>
          <w:rFonts w:ascii="Arial" w:hAnsi="Arial" w:cs="Arial"/>
          <w:sz w:val="20"/>
          <w:szCs w:val="20"/>
          <w:lang w:val="pt-BR"/>
        </w:rPr>
        <w:t>.</w:t>
      </w:r>
    </w:p>
    <w:p w14:paraId="49F93776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  </w:t>
      </w:r>
    </w:p>
    <w:p w14:paraId="18A32C15" w14:textId="1184C922" w:rsidR="00F16A25" w:rsidRDefault="00F16A25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bookmarkStart w:id="3" w:name="_Hlk58776847"/>
      <w:r>
        <w:rPr>
          <w:rFonts w:ascii="Arial" w:hAnsi="Arial" w:cs="Arial"/>
          <w:sz w:val="24"/>
          <w:lang w:val="pt-BR"/>
        </w:rPr>
        <w:t xml:space="preserve">Ademais, de acordo com a jurisprudência do TJDFT, não é possível considerar </w:t>
      </w:r>
      <w:r w:rsidR="00D1188C">
        <w:rPr>
          <w:rFonts w:ascii="Arial" w:hAnsi="Arial" w:cs="Arial"/>
          <w:sz w:val="24"/>
          <w:lang w:val="pt-BR"/>
        </w:rPr>
        <w:t xml:space="preserve">negativas </w:t>
      </w:r>
      <w:r>
        <w:rPr>
          <w:rFonts w:ascii="Arial" w:hAnsi="Arial" w:cs="Arial"/>
          <w:sz w:val="24"/>
          <w:lang w:val="pt-BR"/>
        </w:rPr>
        <w:t>as circunstâncias judiciais do art. 42 da Lei 11.343</w:t>
      </w:r>
      <w:r w:rsidR="00D1188C">
        <w:rPr>
          <w:rFonts w:ascii="Arial" w:hAnsi="Arial" w:cs="Arial"/>
          <w:sz w:val="24"/>
          <w:lang w:val="pt-BR"/>
        </w:rPr>
        <w:t xml:space="preserve"> de forma isolada</w:t>
      </w:r>
      <w:r>
        <w:rPr>
          <w:rFonts w:ascii="Arial" w:hAnsi="Arial" w:cs="Arial"/>
          <w:sz w:val="24"/>
          <w:lang w:val="pt-BR"/>
        </w:rPr>
        <w:t>:</w:t>
      </w:r>
    </w:p>
    <w:p w14:paraId="0EAD3E08" w14:textId="27317680" w:rsidR="00F16A25" w:rsidRDefault="00F16A25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6436084" w14:textId="77777777" w:rsidR="00F16A25" w:rsidRPr="006A4989" w:rsidRDefault="00F16A25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PENAL E PROCESSO PENAL. CIRCUNSTÂNCIA ESPECIAL DO ART. 42, DA LEI 11.343-2006. NATUREZA DA DROGA.  VALORAÇÃO NEGATIVA. INVIÁVEL. RECURSO PARCIALMENTE PROVIDO. </w:t>
      </w:r>
    </w:p>
    <w:p w14:paraId="5D1622CE" w14:textId="77777777" w:rsidR="00D1188C" w:rsidRPr="006A4989" w:rsidRDefault="00D1188C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[...]</w:t>
      </w:r>
    </w:p>
    <w:p w14:paraId="736C7132" w14:textId="35420DE1" w:rsidR="00F16A25" w:rsidRPr="006A4989" w:rsidRDefault="00F16A25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3. Conforme disposto no artigo 42 da Lei nº 11.343/2006, </w:t>
      </w:r>
      <w:r w:rsidRPr="006A4989">
        <w:rPr>
          <w:rFonts w:ascii="Arial" w:hAnsi="Arial" w:cs="Arial"/>
          <w:b/>
          <w:bCs/>
          <w:sz w:val="20"/>
          <w:szCs w:val="20"/>
          <w:lang w:val="pt-BR"/>
        </w:rPr>
        <w:t>a análise da natureza e quantidade da droga deve ser feita de forma conjunta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. Assim, </w:t>
      </w:r>
      <w:r w:rsidRPr="006A4989">
        <w:rPr>
          <w:rFonts w:ascii="Arial" w:hAnsi="Arial" w:cs="Arial"/>
          <w:sz w:val="20"/>
          <w:szCs w:val="20"/>
          <w:lang w:val="pt-BR"/>
        </w:rPr>
        <w:lastRenderedPageBreak/>
        <w:t xml:space="preserve">ainda que a natureza da droga apreendida seja de alto potencial lesivo, se a quantidade de droga não justifica o aumento da pena-base, não há que se falar em análise negativa da circunstância especial do artigo 42 da Lei nº 11.343/2006 </w:t>
      </w:r>
    </w:p>
    <w:p w14:paraId="2F9BCBD1" w14:textId="7BFF0189" w:rsidR="00F16A25" w:rsidRPr="006A4989" w:rsidRDefault="00F16A25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(Acórdão 1304068, 07056285620208070001, Relator: SEBASTIÃO COELHO, , Relator Designado:</w:t>
      </w:r>
      <w:r w:rsidR="006A4989">
        <w:rPr>
          <w:rFonts w:ascii="Arial" w:hAnsi="Arial" w:cs="Arial"/>
          <w:sz w:val="20"/>
          <w:szCs w:val="20"/>
          <w:lang w:val="pt-BR"/>
        </w:rPr>
        <w:t xml:space="preserve"> 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DEMETRIUS GOMES CAVALCANTI 3ª Turma Criminal, data de julgamento: 26/11/2020, publicado no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PJe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>: 9/12/2020</w:t>
      </w:r>
      <w:r w:rsidR="00D1188C" w:rsidRPr="006A4989">
        <w:rPr>
          <w:rFonts w:ascii="Arial" w:hAnsi="Arial" w:cs="Arial"/>
          <w:sz w:val="20"/>
          <w:szCs w:val="20"/>
          <w:lang w:val="pt-BR"/>
        </w:rPr>
        <w:t>).</w:t>
      </w:r>
    </w:p>
    <w:p w14:paraId="6DDE9BC3" w14:textId="77777777" w:rsidR="00F16A25" w:rsidRDefault="00F16A25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78D18E7E" w14:textId="12E91BB0" w:rsid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 xml:space="preserve">No caso concreto, foi apreendida pequena quantidade de drogas, razão pela qual </w:t>
      </w:r>
      <w:r w:rsidR="00F041C2" w:rsidRPr="00F041C2">
        <w:rPr>
          <w:rFonts w:ascii="Arial" w:hAnsi="Arial" w:cs="Arial"/>
          <w:sz w:val="24"/>
          <w:lang w:val="pt-BR"/>
        </w:rPr>
        <w:t xml:space="preserve">a sentença ser reformada para excluir a exasperação da pena-base no que se refere </w:t>
      </w:r>
      <w:r>
        <w:rPr>
          <w:rFonts w:ascii="Arial" w:hAnsi="Arial" w:cs="Arial"/>
          <w:sz w:val="24"/>
          <w:lang w:val="pt-BR"/>
        </w:rPr>
        <w:t>aos critérios do art. 42 da Lei 11.343</w:t>
      </w:r>
      <w:r w:rsidR="00F041C2" w:rsidRPr="00F041C2">
        <w:rPr>
          <w:rFonts w:ascii="Arial" w:hAnsi="Arial" w:cs="Arial"/>
          <w:sz w:val="24"/>
          <w:lang w:val="pt-BR"/>
        </w:rPr>
        <w:t xml:space="preserve">, fixando-a no mínimo legal. </w:t>
      </w:r>
    </w:p>
    <w:bookmarkEnd w:id="3"/>
    <w:p w14:paraId="0CC60A3F" w14:textId="77777777" w:rsidR="00D1188C" w:rsidRP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A5475CE" w14:textId="3F8B6F73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Entretanto, não sendo esse o melhor entendimento, deve-se observar ainda que a pena-base foi exasperada em 12 meses para cada circunstância desfavorável, causando desproporcionalidade na dosimetria.</w:t>
      </w:r>
    </w:p>
    <w:p w14:paraId="633F5EB9" w14:textId="77777777" w:rsidR="00D1188C" w:rsidRP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5382765" w14:textId="78EABD74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TJDFT </w:t>
      </w:r>
      <w:r w:rsidR="00D1188C">
        <w:rPr>
          <w:rFonts w:ascii="Arial" w:hAnsi="Arial" w:cs="Arial"/>
          <w:sz w:val="24"/>
          <w:lang w:val="pt-BR"/>
        </w:rPr>
        <w:t>e</w:t>
      </w:r>
      <w:r w:rsidRPr="00F041C2">
        <w:rPr>
          <w:rFonts w:ascii="Arial" w:hAnsi="Arial" w:cs="Arial"/>
          <w:sz w:val="24"/>
          <w:lang w:val="pt-BR"/>
        </w:rPr>
        <w:t xml:space="preserve"> os Tribunais Superiores</w:t>
      </w:r>
      <w:r w:rsidR="00D1188C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pacificaram o entendimento de que as circunstâncias judiciais desfavoráveis</w:t>
      </w:r>
      <w:r w:rsidR="00D1188C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na primeira fase da dosimetria da pena</w:t>
      </w:r>
      <w:r w:rsidR="00D1188C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devem ser valoradas em 1/6</w:t>
      </w:r>
      <w:r w:rsidR="00D1188C">
        <w:rPr>
          <w:rFonts w:ascii="Arial" w:hAnsi="Arial" w:cs="Arial"/>
          <w:sz w:val="24"/>
          <w:lang w:val="pt-BR"/>
        </w:rPr>
        <w:t xml:space="preserve"> da pena mínima</w:t>
      </w:r>
      <w:r w:rsidRPr="00F041C2">
        <w:rPr>
          <w:rFonts w:ascii="Arial" w:hAnsi="Arial" w:cs="Arial"/>
          <w:sz w:val="24"/>
          <w:lang w:val="pt-BR"/>
        </w:rPr>
        <w:t>, valor que se mostra razoável:</w:t>
      </w:r>
    </w:p>
    <w:p w14:paraId="464C1313" w14:textId="77777777" w:rsidR="00F041C2" w:rsidRPr="006A4989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0"/>
          <w:szCs w:val="20"/>
          <w:lang w:val="pt-BR"/>
        </w:rPr>
      </w:pPr>
    </w:p>
    <w:p w14:paraId="6F84A162" w14:textId="2C631276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“Firmou-se entendimento jurisprudencial nos Tribunais Superiores e nesta E. Corte de Justiça, no sentido de que </w:t>
      </w:r>
      <w:r w:rsidRPr="006A4989">
        <w:rPr>
          <w:rFonts w:ascii="Arial" w:hAnsi="Arial" w:cs="Arial"/>
          <w:b/>
          <w:bCs/>
          <w:sz w:val="20"/>
          <w:szCs w:val="20"/>
          <w:lang w:val="pt-BR"/>
        </w:rPr>
        <w:t>o aumento por circunstância judicial desfavorável na primeira fase da dosimetria da pena, pode ser de até 1/6 (um sexto) da cominação mínima prevista para os tipos penais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, fração de aumento que se tem como razoável e com observação de método, eis que, depois deste limite, passam a incidir as cominações relacionados com o que se denomina de causas de aumento ou diminuição de penas específicas, com o cuidado de, para qualquer delas, dispensar-se fundamentação idônea”. (Acórdão 1228244, 00024236020168070014, Relator: JOÃO TIMÓTEO DE OLIVEIRA, 2ª Turma Criminal, data de julgamento: 30/1/2020, publicado no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PJe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>: 8/2/2020</w:t>
      </w:r>
      <w:r w:rsidR="00D1188C" w:rsidRPr="006A4989">
        <w:rPr>
          <w:rFonts w:ascii="Arial" w:hAnsi="Arial" w:cs="Arial"/>
          <w:sz w:val="20"/>
          <w:szCs w:val="20"/>
          <w:lang w:val="pt-BR"/>
        </w:rPr>
        <w:t>).</w:t>
      </w:r>
    </w:p>
    <w:p w14:paraId="4E301281" w14:textId="77777777" w:rsidR="00F041C2" w:rsidRPr="006A4989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0"/>
          <w:szCs w:val="20"/>
          <w:lang w:val="pt-BR"/>
        </w:rPr>
      </w:pPr>
    </w:p>
    <w:p w14:paraId="51A6790E" w14:textId="77777777" w:rsidR="00D1188C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Assim sendo, caso permaneça a valoração negativa da circunstância judicial citada acima, necessária a correção da dosimetria da pena para que a exasperação </w:t>
      </w:r>
      <w:r w:rsidRPr="00F041C2">
        <w:rPr>
          <w:rFonts w:ascii="Arial" w:hAnsi="Arial" w:cs="Arial"/>
          <w:sz w:val="24"/>
          <w:lang w:val="pt-BR"/>
        </w:rPr>
        <w:lastRenderedPageBreak/>
        <w:t>seja de até 10 meses de reclusão, de forma que a pena-base deve ser fixada em 5 anos e 10 meses.</w:t>
      </w:r>
    </w:p>
    <w:p w14:paraId="74DB9B01" w14:textId="77777777" w:rsidR="00D1188C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BE2A0FF" w14:textId="00EACFB2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Na </w:t>
      </w:r>
      <w:r w:rsidR="00D1188C" w:rsidRPr="00F041C2">
        <w:rPr>
          <w:rFonts w:ascii="Arial" w:hAnsi="Arial" w:cs="Arial"/>
          <w:sz w:val="24"/>
          <w:lang w:val="pt-BR"/>
        </w:rPr>
        <w:t>terceira fase</w:t>
      </w:r>
      <w:r w:rsidRPr="00F041C2">
        <w:rPr>
          <w:rFonts w:ascii="Arial" w:hAnsi="Arial" w:cs="Arial"/>
          <w:sz w:val="24"/>
          <w:lang w:val="pt-BR"/>
        </w:rPr>
        <w:t>, com relação à aplicação da causa de aumento referente à proximidade de escola, essa não merece prosperar.</w:t>
      </w:r>
    </w:p>
    <w:p w14:paraId="0993B783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0471475" w14:textId="4B2E9AEF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entendimento do Superior Tribunal de Justiça é no sentido de que, para que haja a incidência da referida causa de aumento, é necessária a comprovação de que o agente se utilizou do maior fluxo de pessoas para realizar a difusão ilícita, não sendo suficiente que o indivíduo tenha apenas, supostamente, praticado o fato em determinado local descrito no art. 40, inciso III, </w:t>
      </w:r>
      <w:r w:rsidR="00D1188C">
        <w:rPr>
          <w:rFonts w:ascii="Arial" w:hAnsi="Arial" w:cs="Arial"/>
          <w:sz w:val="24"/>
          <w:lang w:val="pt-BR"/>
        </w:rPr>
        <w:t>da Lei 11.343:</w:t>
      </w:r>
    </w:p>
    <w:p w14:paraId="11E87A5D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EAAFB8F" w14:textId="77777777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“Como, na espécie, não ficou evidenciado nenhum benefício advindo ao paciente com a prática do delito nas proximidades ou nas imediações de estabelecimento de ensino – o ilícito foi perpetrado, tão somente, em um domingo, de madrugada – e se também não houve uma maximização do risco exposto àqueles que frequentam a escola (alunos, pais, professores, funcionários em geral), deve, excepcionalmente, em razão das peculiaridades do caso concreto, ser afastada a incidência da referida majorante” (HC 451.260/ES, Rel. Ministro ROGERIO SCHIETTI CRUZ, SEXTA TURMA, julgado em 07/08/2018,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DJe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 xml:space="preserve"> 21/08/2018). </w:t>
      </w:r>
    </w:p>
    <w:p w14:paraId="20815227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C39544C" w14:textId="2EDF98A2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>Esse é também o entendimento recentíssimo do</w:t>
      </w:r>
      <w:r w:rsidR="00D1188C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Tribunal de Justiça do Distrito Federal e Territórios.:</w:t>
      </w:r>
    </w:p>
    <w:p w14:paraId="1B290C46" w14:textId="77777777" w:rsidR="00D1188C" w:rsidRDefault="00D1188C" w:rsidP="00D1188C">
      <w:pPr>
        <w:pStyle w:val="Corpodetexto3"/>
        <w:spacing w:line="360" w:lineRule="auto"/>
        <w:ind w:left="2268"/>
        <w:rPr>
          <w:rFonts w:ascii="Arial" w:hAnsi="Arial" w:cs="Arial"/>
          <w:sz w:val="24"/>
          <w:lang w:val="pt-BR"/>
        </w:rPr>
      </w:pPr>
    </w:p>
    <w:p w14:paraId="5E63AEF1" w14:textId="556EEA8D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TRÁFICO DE DROGAS. PROVAS. DEPOIMENTO DE POLICIAIS. RECONHECIMENTO. PROVAS. MENORIDADE RELATIVA. CAUSA DE AUMENTO E DE DIMINUIÇÃO. RESTITUIÇÃO DE COISA APREENDIDA. Se o tráfico ocorreu próximo a estabelecimento de ensino, num sábado, por volta das 16 horas -- horário em que a escola está fechada e não há movimento de estudantes --, DEVE SER AFASTADA A CAUSA DE AUMENTO DO ART. 40, III, DA LAD. (Acórdão 1276478, 07167206520198070001, Relator: JAIR SOARES, 2ª Turma Criminal, data de julgamento: 20/8/2020, publicado no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PJe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>: 1/9/2020</w:t>
      </w:r>
      <w:r w:rsidR="00D1188C" w:rsidRPr="006A4989">
        <w:rPr>
          <w:rFonts w:ascii="Arial" w:hAnsi="Arial" w:cs="Arial"/>
          <w:sz w:val="20"/>
          <w:szCs w:val="20"/>
          <w:lang w:val="pt-BR"/>
        </w:rPr>
        <w:t>).</w:t>
      </w:r>
    </w:p>
    <w:p w14:paraId="313B2A65" w14:textId="7C9E063D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5D62C2C" w14:textId="3427BAA1" w:rsidR="00F041C2" w:rsidRP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lastRenderedPageBreak/>
        <w:t>N</w:t>
      </w:r>
      <w:r w:rsidR="00F041C2" w:rsidRPr="00F041C2">
        <w:rPr>
          <w:rFonts w:ascii="Arial" w:hAnsi="Arial" w:cs="Arial"/>
          <w:sz w:val="24"/>
          <w:lang w:val="pt-BR"/>
        </w:rPr>
        <w:t>ão há qualquer prova nos autos de que os alunos seriam alvos do suposto tráfico de drogas</w:t>
      </w:r>
      <w:r>
        <w:rPr>
          <w:rFonts w:ascii="Arial" w:hAnsi="Arial" w:cs="Arial"/>
          <w:sz w:val="24"/>
          <w:lang w:val="pt-BR"/>
        </w:rPr>
        <w:t xml:space="preserve"> (inclusive o suposto usuário não era aluno do colégio)</w:t>
      </w:r>
      <w:r w:rsidR="00F041C2" w:rsidRPr="00F041C2">
        <w:rPr>
          <w:rFonts w:ascii="Arial" w:hAnsi="Arial" w:cs="Arial"/>
          <w:sz w:val="24"/>
          <w:lang w:val="pt-BR"/>
        </w:rPr>
        <w:t xml:space="preserve">. </w:t>
      </w:r>
      <w:r>
        <w:rPr>
          <w:rFonts w:ascii="Arial" w:hAnsi="Arial" w:cs="Arial"/>
          <w:sz w:val="24"/>
          <w:lang w:val="pt-BR"/>
        </w:rPr>
        <w:t>Destaca-se o</w:t>
      </w:r>
      <w:r w:rsidR="00F041C2" w:rsidRPr="00F041C2">
        <w:rPr>
          <w:rFonts w:ascii="Arial" w:hAnsi="Arial" w:cs="Arial"/>
          <w:sz w:val="24"/>
          <w:lang w:val="pt-BR"/>
        </w:rPr>
        <w:t xml:space="preserve"> entendimento do TJDFT pelo afastamento da causa de aumento:</w:t>
      </w:r>
    </w:p>
    <w:p w14:paraId="446978C3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D4AB672" w14:textId="77777777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PENAL. APELAÇÃO. TRÁFICO ILÍCITO DE ENTORPECENTES - ABSOLVIÇÃO POR INSUFICIÊNCIA DE PROVAS QUANTO À AUTORIA - CONJUNTO PROBATÓRIO ROBUSTO - IMPOSSIBILIDADE. DOSIMETRIA - PENA-BASE -CIRCUNSTÂNCIAS JUDICIAIS FAVORÁVEIS - MÍNIMO LEGAL. ARTIGO 40, III, DA LEI 11.343/2006 - NÃO COMPROVAÇÃO DE SUA OCORRÊNCIA - EXCLUSÃO. ARTIGO 33, § 4º, DA LEI 11.343/2006 - REDUÇÃO EM PATAMAR PRÓXIMO AO MÁXIMO LEGAL - POSSIBILIDADE. REGIME INICIAL ABERTO - IMPOSSIBILIDADE. SUBSTITUIÇÃO DA SANÇÃO CORPORAL POR RESTRITIVAS DE DIREITOS - INVIABILIDADE. SURSIS DA PENA - CONCESSÃO. RECURSO PARCIALMENTE PROVIDO. </w:t>
      </w:r>
    </w:p>
    <w:p w14:paraId="5645F294" w14:textId="369424F3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Demonstrado, por meio do robusto conjunto fático-probatório, que o réu/apelante, efetivamente, incorreu na prática do tipo penal previsto no artigo 33, caput, da Lei 11.343/2006, impossível a sua absolvição por insuficiência de provas. Sendo, na espécie, ínfima a quantidade de droga apreendida em poder do réu (0,29g de massa líquida de crack) e as demais circunstâncias judiciais lhe sejam favoráveis, deve a pena-base ser estabelecida no patamar mínimo legal, assim como aplicada a causa de diminuição elencada no artigo 33, § 4º, do Código Penal em patamar próximo ao máximo legal. Imperiosa a exclusão da causa de aumento elencada no artigo 40, inciso III, da LAD, quando dos autos se extrai que, em que pese a proximidade entre o local onde o réu exercia a traficância ilícita de entorpecentes e um colégio, o réu utilizava-se de sua própria residência para traficar, não havendo provas de que referida atividade criminosa tinha como destinatários os alunos do referido estabelecimento de ensino. [...] (Acórdão n.736918, 20130110320134APR, Relator: GEORGE LOPES LEITE, Relator Designado:</w:t>
      </w:r>
      <w:r w:rsidR="00AE37F3" w:rsidRPr="006A4989">
        <w:rPr>
          <w:rFonts w:ascii="Arial" w:hAnsi="Arial" w:cs="Arial"/>
          <w:sz w:val="20"/>
          <w:szCs w:val="20"/>
          <w:lang w:val="pt-BR"/>
        </w:rPr>
        <w:t xml:space="preserve"> 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ROMÃO C. OLIVEIRA, Revisor: ROMÃO C. OLIVEIRA, 1ª Turma Criminal, Data de Julgamento: 07/11/2013, </w:t>
      </w:r>
      <w:proofErr w:type="gramStart"/>
      <w:r w:rsidRPr="006A4989">
        <w:rPr>
          <w:rFonts w:ascii="Arial" w:hAnsi="Arial" w:cs="Arial"/>
          <w:sz w:val="20"/>
          <w:szCs w:val="20"/>
          <w:lang w:val="pt-BR"/>
        </w:rPr>
        <w:t>Publicado</w:t>
      </w:r>
      <w:proofErr w:type="gramEnd"/>
      <w:r w:rsidRPr="006A4989">
        <w:rPr>
          <w:rFonts w:ascii="Arial" w:hAnsi="Arial" w:cs="Arial"/>
          <w:sz w:val="20"/>
          <w:szCs w:val="20"/>
          <w:lang w:val="pt-BR"/>
        </w:rPr>
        <w:t xml:space="preserve"> no DJE: 26/11/2013. Pág.: 214)</w:t>
      </w:r>
      <w:r w:rsidR="00D1188C" w:rsidRPr="006A4989">
        <w:rPr>
          <w:rFonts w:ascii="Arial" w:hAnsi="Arial" w:cs="Arial"/>
          <w:sz w:val="20"/>
          <w:szCs w:val="20"/>
          <w:lang w:val="pt-BR"/>
        </w:rPr>
        <w:t>.</w:t>
      </w:r>
    </w:p>
    <w:p w14:paraId="5477F653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931B0D6" w14:textId="732F79C8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Assim, deve ser afastada a causa de aumento do art. 40, inc. III da LAD, pois não se comprovou oportunamente qualquer benefício advindo da suposta proximidade. </w:t>
      </w:r>
    </w:p>
    <w:p w14:paraId="6DB0380B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259BDB0" w14:textId="6BA218A2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lastRenderedPageBreak/>
        <w:tab/>
        <w:t xml:space="preserve">Com relação à não aplicação da causa de diminuição de pena do artigo 33, §4º da Lei 11.343/06, a </w:t>
      </w:r>
      <w:r w:rsidR="00AE37F3">
        <w:rPr>
          <w:rFonts w:ascii="Arial" w:hAnsi="Arial" w:cs="Arial"/>
          <w:sz w:val="24"/>
          <w:lang w:val="pt-BR"/>
        </w:rPr>
        <w:t>sentença</w:t>
      </w:r>
      <w:r w:rsidRPr="00F041C2">
        <w:rPr>
          <w:rFonts w:ascii="Arial" w:hAnsi="Arial" w:cs="Arial"/>
          <w:sz w:val="24"/>
          <w:lang w:val="pt-BR"/>
        </w:rPr>
        <w:t xml:space="preserve"> decidiu pela não redução da pena ao afirmar que existem outras ações penais em curso contra o réu. </w:t>
      </w:r>
      <w:r w:rsidR="0065389E">
        <w:rPr>
          <w:rFonts w:ascii="Arial" w:hAnsi="Arial" w:cs="Arial"/>
          <w:sz w:val="24"/>
          <w:lang w:val="pt-BR"/>
        </w:rPr>
        <w:t>Não obstante, não</w:t>
      </w:r>
      <w:r w:rsidRPr="00F041C2">
        <w:rPr>
          <w:rFonts w:ascii="Arial" w:hAnsi="Arial" w:cs="Arial"/>
          <w:sz w:val="24"/>
          <w:lang w:val="pt-BR"/>
        </w:rPr>
        <w:t xml:space="preserve"> é possível </w:t>
      </w:r>
      <w:r w:rsidR="0065389E">
        <w:rPr>
          <w:rFonts w:ascii="Arial" w:hAnsi="Arial" w:cs="Arial"/>
          <w:sz w:val="24"/>
          <w:lang w:val="pt-BR"/>
        </w:rPr>
        <w:t>conceber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65389E">
        <w:rPr>
          <w:rFonts w:ascii="Arial" w:hAnsi="Arial" w:cs="Arial"/>
          <w:sz w:val="24"/>
          <w:lang w:val="pt-BR"/>
        </w:rPr>
        <w:t>suposta</w:t>
      </w:r>
      <w:r w:rsidRPr="00F041C2">
        <w:rPr>
          <w:rFonts w:ascii="Arial" w:hAnsi="Arial" w:cs="Arial"/>
          <w:sz w:val="24"/>
          <w:lang w:val="pt-BR"/>
        </w:rPr>
        <w:t xml:space="preserve"> habitualidade delitiva considerando </w:t>
      </w:r>
      <w:r w:rsidR="0065389E">
        <w:rPr>
          <w:rFonts w:ascii="Arial" w:hAnsi="Arial" w:cs="Arial"/>
          <w:sz w:val="24"/>
          <w:lang w:val="pt-BR"/>
        </w:rPr>
        <w:t xml:space="preserve">supostos </w:t>
      </w:r>
      <w:r w:rsidRPr="00F041C2">
        <w:rPr>
          <w:rFonts w:ascii="Arial" w:hAnsi="Arial" w:cs="Arial"/>
          <w:sz w:val="24"/>
          <w:lang w:val="pt-BR"/>
        </w:rPr>
        <w:t>crimes que nem transitaram em julgado</w:t>
      </w:r>
      <w:r w:rsidR="0065389E">
        <w:rPr>
          <w:rFonts w:ascii="Arial" w:hAnsi="Arial" w:cs="Arial"/>
          <w:sz w:val="24"/>
          <w:lang w:val="pt-BR"/>
        </w:rPr>
        <w:t>.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65389E">
        <w:rPr>
          <w:rFonts w:ascii="Arial" w:hAnsi="Arial" w:cs="Arial"/>
          <w:sz w:val="24"/>
          <w:lang w:val="pt-BR"/>
        </w:rPr>
        <w:t>O</w:t>
      </w:r>
      <w:r w:rsidRPr="00F041C2">
        <w:rPr>
          <w:rFonts w:ascii="Arial" w:hAnsi="Arial" w:cs="Arial"/>
          <w:sz w:val="24"/>
          <w:lang w:val="pt-BR"/>
        </w:rPr>
        <w:t xml:space="preserve"> apelante</w:t>
      </w:r>
      <w:r w:rsidR="0065389E">
        <w:rPr>
          <w:rFonts w:ascii="Arial" w:hAnsi="Arial" w:cs="Arial"/>
          <w:sz w:val="24"/>
          <w:lang w:val="pt-BR"/>
        </w:rPr>
        <w:t xml:space="preserve"> estaria</w:t>
      </w:r>
      <w:r w:rsidRPr="00F041C2">
        <w:rPr>
          <w:rFonts w:ascii="Arial" w:hAnsi="Arial" w:cs="Arial"/>
          <w:sz w:val="24"/>
          <w:lang w:val="pt-BR"/>
        </w:rPr>
        <w:t xml:space="preserve"> sendo punido antes mesmo de ser </w:t>
      </w:r>
      <w:r w:rsidR="0065389E">
        <w:rPr>
          <w:rFonts w:ascii="Arial" w:hAnsi="Arial" w:cs="Arial"/>
          <w:sz w:val="24"/>
          <w:lang w:val="pt-BR"/>
        </w:rPr>
        <w:t>eventualmente considerado</w:t>
      </w:r>
      <w:r w:rsidRPr="00F041C2">
        <w:rPr>
          <w:rFonts w:ascii="Arial" w:hAnsi="Arial" w:cs="Arial"/>
          <w:sz w:val="24"/>
          <w:lang w:val="pt-BR"/>
        </w:rPr>
        <w:t xml:space="preserve"> culpado.</w:t>
      </w:r>
    </w:p>
    <w:p w14:paraId="188E8C97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7CEC866" w14:textId="6CDA6919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</w:r>
      <w:r w:rsidR="0065389E">
        <w:rPr>
          <w:rFonts w:ascii="Arial" w:hAnsi="Arial" w:cs="Arial"/>
          <w:sz w:val="24"/>
          <w:lang w:val="pt-BR"/>
        </w:rPr>
        <w:t>A jurisprudência do TJDFT entende</w:t>
      </w:r>
      <w:r w:rsidRPr="00F041C2">
        <w:rPr>
          <w:rFonts w:ascii="Arial" w:hAnsi="Arial" w:cs="Arial"/>
          <w:sz w:val="24"/>
          <w:lang w:val="pt-BR"/>
        </w:rPr>
        <w:t xml:space="preserve"> que ações penais em curso não podem afastar o reconhecimento do tráfico privilegiado, como bem salientado no Acórdão n.1087130, 20160111307883APR, Relator: JAIR SOARES, Revisor: MARIA IVATÔNIA, 2ª TURMA CRIMINAL, Data de Julgamento: 05/04/2018.</w:t>
      </w:r>
    </w:p>
    <w:p w14:paraId="311902BF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2EAEB7E" w14:textId="4A980EB7" w:rsidR="00F041C2" w:rsidRDefault="00F041C2" w:rsidP="00076CBA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 xml:space="preserve"> </w:t>
      </w:r>
      <w:r w:rsidR="00076CBA">
        <w:rPr>
          <w:rFonts w:ascii="Arial" w:hAnsi="Arial" w:cs="Arial"/>
          <w:sz w:val="24"/>
          <w:lang w:val="pt-BR"/>
        </w:rPr>
        <w:t>Verifica-se que a escolha adotada pela sentença implica</w:t>
      </w:r>
      <w:r w:rsidRPr="00F041C2">
        <w:rPr>
          <w:rFonts w:ascii="Arial" w:hAnsi="Arial" w:cs="Arial"/>
          <w:sz w:val="24"/>
          <w:lang w:val="pt-BR"/>
        </w:rPr>
        <w:t xml:space="preserve"> contradição</w:t>
      </w:r>
      <w:r w:rsidR="00076CBA">
        <w:rPr>
          <w:rFonts w:ascii="Arial" w:hAnsi="Arial" w:cs="Arial"/>
          <w:sz w:val="24"/>
          <w:lang w:val="pt-BR"/>
        </w:rPr>
        <w:t xml:space="preserve"> com os demais posicionamentos jurisprudenciais</w:t>
      </w:r>
      <w:r w:rsidRPr="00F041C2">
        <w:rPr>
          <w:rFonts w:ascii="Arial" w:hAnsi="Arial" w:cs="Arial"/>
          <w:sz w:val="24"/>
          <w:lang w:val="pt-BR"/>
        </w:rPr>
        <w:t xml:space="preserve">. Se a jurisprudência dos </w:t>
      </w:r>
      <w:r w:rsidR="00076CBA" w:rsidRPr="00F041C2">
        <w:rPr>
          <w:rFonts w:ascii="Arial" w:hAnsi="Arial" w:cs="Arial"/>
          <w:sz w:val="24"/>
          <w:lang w:val="pt-BR"/>
        </w:rPr>
        <w:t>Tribunais</w:t>
      </w:r>
      <w:r w:rsidRPr="00F041C2">
        <w:rPr>
          <w:rFonts w:ascii="Arial" w:hAnsi="Arial" w:cs="Arial"/>
          <w:sz w:val="24"/>
          <w:lang w:val="pt-BR"/>
        </w:rPr>
        <w:t xml:space="preserve">, </w:t>
      </w:r>
      <w:r w:rsidR="00076CBA">
        <w:rPr>
          <w:rFonts w:ascii="Arial" w:hAnsi="Arial" w:cs="Arial"/>
          <w:sz w:val="24"/>
          <w:lang w:val="pt-BR"/>
        </w:rPr>
        <w:t>baseada na</w:t>
      </w:r>
      <w:r w:rsidRPr="00F041C2">
        <w:rPr>
          <w:rFonts w:ascii="Arial" w:hAnsi="Arial" w:cs="Arial"/>
          <w:sz w:val="24"/>
          <w:lang w:val="pt-BR"/>
        </w:rPr>
        <w:t xml:space="preserve"> súmula 444 do STJ, entende que inquéritos e ações penais em curso não caracterizam maus antecedentes, tampouco </w:t>
      </w:r>
      <w:r w:rsidR="00076CBA">
        <w:rPr>
          <w:rFonts w:ascii="Arial" w:hAnsi="Arial" w:cs="Arial"/>
          <w:sz w:val="24"/>
          <w:lang w:val="pt-BR"/>
        </w:rPr>
        <w:t>podem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076CBA">
        <w:rPr>
          <w:rFonts w:ascii="Arial" w:hAnsi="Arial" w:cs="Arial"/>
          <w:sz w:val="24"/>
          <w:lang w:val="pt-BR"/>
        </w:rPr>
        <w:t>ser utilizadas</w:t>
      </w:r>
      <w:r w:rsidRPr="00F041C2">
        <w:rPr>
          <w:rFonts w:ascii="Arial" w:hAnsi="Arial" w:cs="Arial"/>
          <w:sz w:val="24"/>
          <w:lang w:val="pt-BR"/>
        </w:rPr>
        <w:t xml:space="preserve"> para negar </w:t>
      </w:r>
      <w:r w:rsidR="00076CBA">
        <w:rPr>
          <w:rFonts w:ascii="Arial" w:hAnsi="Arial" w:cs="Arial"/>
          <w:sz w:val="24"/>
          <w:lang w:val="pt-BR"/>
        </w:rPr>
        <w:t xml:space="preserve">o tráfico privilégio, sob alegação de </w:t>
      </w:r>
      <w:r w:rsidRPr="00F041C2">
        <w:rPr>
          <w:rFonts w:ascii="Arial" w:hAnsi="Arial" w:cs="Arial"/>
          <w:sz w:val="24"/>
          <w:lang w:val="pt-BR"/>
        </w:rPr>
        <w:t xml:space="preserve">atividade criminosa habitual. </w:t>
      </w:r>
    </w:p>
    <w:p w14:paraId="219AF0DB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958EC9C" w14:textId="4366DFFA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>Trata-se, portanto, de violação ao princípio da presunção de inocência, firmado no artigo 5º, LVII da Constituição Federal</w:t>
      </w:r>
      <w:r w:rsidR="00076CBA">
        <w:rPr>
          <w:rFonts w:ascii="Arial" w:hAnsi="Arial" w:cs="Arial"/>
          <w:sz w:val="24"/>
          <w:lang w:val="pt-BR"/>
        </w:rPr>
        <w:t>, razão pela qual se faz necessária a</w:t>
      </w:r>
      <w:r w:rsidRPr="00F041C2">
        <w:rPr>
          <w:rFonts w:ascii="Arial" w:hAnsi="Arial" w:cs="Arial"/>
          <w:sz w:val="24"/>
          <w:lang w:val="pt-BR"/>
        </w:rPr>
        <w:t xml:space="preserve"> reforma da sentença para, persistindo a condenação pelo tráfico, </w:t>
      </w:r>
      <w:r w:rsidR="00076CBA">
        <w:rPr>
          <w:rFonts w:ascii="Arial" w:hAnsi="Arial" w:cs="Arial"/>
          <w:sz w:val="24"/>
          <w:lang w:val="pt-BR"/>
        </w:rPr>
        <w:t xml:space="preserve">que </w:t>
      </w:r>
      <w:r w:rsidRPr="00F041C2">
        <w:rPr>
          <w:rFonts w:ascii="Arial" w:hAnsi="Arial" w:cs="Arial"/>
          <w:sz w:val="24"/>
          <w:lang w:val="pt-BR"/>
        </w:rPr>
        <w:t xml:space="preserve">seja concedida a causa de diminuição de pena do tráfico privilegiado, na forma do artigo 33, §4º, </w:t>
      </w:r>
      <w:r w:rsidR="00076CBA">
        <w:rPr>
          <w:rFonts w:ascii="Arial" w:hAnsi="Arial" w:cs="Arial"/>
          <w:sz w:val="24"/>
          <w:lang w:val="pt-BR"/>
        </w:rPr>
        <w:t>da Lei 11.343</w:t>
      </w:r>
      <w:r w:rsidRPr="00F041C2">
        <w:rPr>
          <w:rFonts w:ascii="Arial" w:hAnsi="Arial" w:cs="Arial"/>
          <w:sz w:val="24"/>
          <w:lang w:val="pt-BR"/>
        </w:rPr>
        <w:t>, já que preenchidos todos os requisitos legais, em seu patamar máximo.</w:t>
      </w:r>
    </w:p>
    <w:p w14:paraId="17535095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A15DACC" w14:textId="7BCB0B98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 xml:space="preserve">Por fim, acatadas as teses narradas acima, considerando que a pena ficará abaixo de 4 anos, </w:t>
      </w:r>
      <w:r w:rsidR="008910C3">
        <w:rPr>
          <w:rFonts w:ascii="Arial" w:hAnsi="Arial" w:cs="Arial"/>
          <w:sz w:val="24"/>
          <w:lang w:val="pt-BR"/>
        </w:rPr>
        <w:t>deve haver a fixação d</w:t>
      </w:r>
      <w:r w:rsidRPr="00F041C2">
        <w:rPr>
          <w:rFonts w:ascii="Arial" w:hAnsi="Arial" w:cs="Arial"/>
          <w:sz w:val="24"/>
          <w:lang w:val="pt-BR"/>
        </w:rPr>
        <w:t>o regime inicial de cumprimento de pena</w:t>
      </w:r>
      <w:r w:rsidR="00370D95">
        <w:rPr>
          <w:rFonts w:ascii="Arial" w:hAnsi="Arial" w:cs="Arial"/>
          <w:sz w:val="24"/>
          <w:lang w:val="pt-BR"/>
        </w:rPr>
        <w:t xml:space="preserve"> em meio aberto</w:t>
      </w:r>
      <w:r w:rsidRPr="00F041C2">
        <w:rPr>
          <w:rFonts w:ascii="Arial" w:hAnsi="Arial" w:cs="Arial"/>
          <w:sz w:val="24"/>
          <w:lang w:val="pt-BR"/>
        </w:rPr>
        <w:t xml:space="preserve">, conforme artigo 33, §2º, c, do CP, </w:t>
      </w:r>
      <w:r w:rsidR="008910C3">
        <w:rPr>
          <w:rFonts w:ascii="Arial" w:hAnsi="Arial" w:cs="Arial"/>
          <w:sz w:val="24"/>
          <w:lang w:val="pt-BR"/>
        </w:rPr>
        <w:t>no meio</w:t>
      </w:r>
      <w:r w:rsidRPr="00F041C2">
        <w:rPr>
          <w:rFonts w:ascii="Arial" w:hAnsi="Arial" w:cs="Arial"/>
          <w:sz w:val="24"/>
          <w:lang w:val="pt-BR"/>
        </w:rPr>
        <w:t xml:space="preserve"> aberto</w:t>
      </w:r>
      <w:r w:rsidR="00370D95">
        <w:rPr>
          <w:rFonts w:ascii="Arial" w:hAnsi="Arial" w:cs="Arial"/>
          <w:sz w:val="24"/>
          <w:lang w:val="pt-BR"/>
        </w:rPr>
        <w:t>, com a substituição por restritiva de direitos (art. 44 do CP)</w:t>
      </w:r>
      <w:r w:rsidRPr="00F041C2">
        <w:rPr>
          <w:rFonts w:ascii="Arial" w:hAnsi="Arial" w:cs="Arial"/>
          <w:sz w:val="24"/>
          <w:lang w:val="pt-BR"/>
        </w:rPr>
        <w:t>.</w:t>
      </w:r>
    </w:p>
    <w:p w14:paraId="5082B468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F57F9CC" w14:textId="7FB350A3" w:rsidR="00536559" w:rsidRPr="00FB5295" w:rsidRDefault="002E4332" w:rsidP="00F041C2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>
        <w:rPr>
          <w:rFonts w:ascii="Arial" w:hAnsi="Arial" w:cs="Arial"/>
          <w:sz w:val="24"/>
          <w:szCs w:val="24"/>
          <w:lang w:val="pt-BR" w:eastAsia="en-US"/>
        </w:rPr>
        <w:t>DOS REQUERIMENTOS</w:t>
      </w:r>
    </w:p>
    <w:p w14:paraId="2D16CCCB" w14:textId="77777777" w:rsidR="00536559" w:rsidRDefault="00536559" w:rsidP="00536559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5EBB5EBC" w14:textId="79777BE3" w:rsidR="00536559" w:rsidRPr="005755AB" w:rsidRDefault="003C167D" w:rsidP="00536559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5755AB">
        <w:rPr>
          <w:rFonts w:ascii="Arial" w:hAnsi="Arial" w:cs="Arial"/>
          <w:sz w:val="24"/>
          <w:lang w:val="pt-BR"/>
        </w:rPr>
        <w:t>Diante do exposto, requer:</w:t>
      </w:r>
    </w:p>
    <w:p w14:paraId="64EBD363" w14:textId="752D87BE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lastRenderedPageBreak/>
        <w:t>A desclassificação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conduta do apelante para a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quela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prevista no artigo 33, §3º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da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Lei 11.343,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ante a ausência de provas de tráfico de drogas;</w:t>
      </w:r>
    </w:p>
    <w:p w14:paraId="46196869" w14:textId="130DFF41" w:rsidR="00032195" w:rsidRPr="005755AB" w:rsidRDefault="00A62223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exclusão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exasperação da pena-base em razão da natureza da droga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 fixando-se no mínimo legal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; </w:t>
      </w:r>
    </w:p>
    <w:p w14:paraId="57C7701D" w14:textId="78CC200E" w:rsidR="00032195" w:rsidRPr="005755AB" w:rsidRDefault="00A62223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Subsidiariamente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, a 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adequação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dosimetria da pena-base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no sentido de que a exasperação da circunstância judicial valorada negativamente seja de 1/6 da pena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mínima abstratamente culminada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;</w:t>
      </w:r>
    </w:p>
    <w:p w14:paraId="1924FEED" w14:textId="46B10AFF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O afastamento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a causa de aumento de pena prevista no artigo 40, III da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Lei 11.343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; </w:t>
      </w:r>
    </w:p>
    <w:p w14:paraId="3B547D46" w14:textId="66197D9E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O reconhecimento 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a causa de diminuição de pena prevista no artigo 33, §4º, Lei 11.343/06,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na fração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máxim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da diminuição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; </w:t>
      </w:r>
    </w:p>
    <w:p w14:paraId="3356C298" w14:textId="4E21C987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Com o reconhecimento do tráfico privilegiado,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fixação de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regime inicial de cumprimento de pena aberto</w:t>
      </w:r>
      <w:r w:rsidR="00A62223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 com a substituição por restritiva de direitos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.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</w:p>
    <w:p w14:paraId="644C353D" w14:textId="77777777" w:rsidR="00032195" w:rsidRPr="005755AB" w:rsidRDefault="00032195" w:rsidP="00A0225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</w:p>
    <w:p w14:paraId="283A701D" w14:textId="77777777" w:rsidR="00032195" w:rsidRPr="005755AB" w:rsidRDefault="00032195" w:rsidP="00A0225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</w:p>
    <w:p w14:paraId="7001C9EC" w14:textId="3CF89A0B" w:rsidR="00A02251" w:rsidRPr="005755AB" w:rsidRDefault="00A02251" w:rsidP="00A0225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 w:rsidRPr="005755AB">
        <w:rPr>
          <w:rFonts w:ascii="Arial" w:hAnsi="Arial" w:cs="Arial"/>
          <w:sz w:val="24"/>
          <w:lang w:val="pt-BR"/>
        </w:rPr>
        <w:t>Pede deferimento nesses termos.</w:t>
      </w:r>
    </w:p>
    <w:p w14:paraId="0FAC5035" w14:textId="77777777" w:rsidR="00A02251" w:rsidRPr="005755AB" w:rsidRDefault="00A02251" w:rsidP="00A02251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1E88FF19" w14:textId="2CC2155F" w:rsidR="00636BA1" w:rsidRPr="005755AB" w:rsidRDefault="00636BA1" w:rsidP="00636BA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 w:rsidRPr="005755AB">
        <w:rPr>
          <w:rFonts w:ascii="Arial" w:hAnsi="Arial" w:cs="Arial"/>
          <w:sz w:val="24"/>
          <w:lang w:val="pt-BR"/>
        </w:rPr>
        <w:t xml:space="preserve">Brasília-DF, </w:t>
      </w:r>
      <w:proofErr w:type="spellStart"/>
      <w:r w:rsidR="00A62223">
        <w:rPr>
          <w:rFonts w:ascii="Arial" w:hAnsi="Arial" w:cs="Arial"/>
          <w:sz w:val="24"/>
          <w:lang w:val="pt-BR"/>
        </w:rPr>
        <w:t>xx</w:t>
      </w:r>
      <w:proofErr w:type="spellEnd"/>
      <w:r w:rsidRPr="005755AB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A62223">
        <w:rPr>
          <w:rFonts w:ascii="Arial" w:hAnsi="Arial" w:cs="Arial"/>
          <w:sz w:val="24"/>
          <w:lang w:val="pt-BR"/>
        </w:rPr>
        <w:t>xxxxx</w:t>
      </w:r>
      <w:proofErr w:type="spellEnd"/>
      <w:r w:rsidRPr="005755AB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A62223">
        <w:rPr>
          <w:rFonts w:ascii="Arial" w:hAnsi="Arial" w:cs="Arial"/>
          <w:sz w:val="24"/>
          <w:lang w:val="pt-BR"/>
        </w:rPr>
        <w:t>xxxx</w:t>
      </w:r>
      <w:proofErr w:type="spellEnd"/>
    </w:p>
    <w:p w14:paraId="3988E284" w14:textId="42D4E990" w:rsidR="00A02251" w:rsidRPr="005755AB" w:rsidRDefault="00A02251" w:rsidP="00A02251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7D1100B7" w14:textId="77777777" w:rsidR="007D3750" w:rsidRPr="005755AB" w:rsidRDefault="007D3750" w:rsidP="00A02251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1A21BC9E" w14:textId="77777777" w:rsidR="00A62223" w:rsidRPr="00645FB8" w:rsidRDefault="00A62223" w:rsidP="00A62223">
      <w:pPr>
        <w:pStyle w:val="Corpodetexto3"/>
        <w:spacing w:line="360" w:lineRule="auto"/>
        <w:jc w:val="center"/>
        <w:rPr>
          <w:rFonts w:ascii="Arial" w:hAnsi="Arial" w:cs="Arial"/>
          <w:b/>
          <w:bCs/>
          <w:sz w:val="24"/>
          <w:lang w:val="pt-BR"/>
        </w:rPr>
      </w:pPr>
      <w:r>
        <w:rPr>
          <w:rFonts w:ascii="Arial" w:hAnsi="Arial" w:cs="Arial"/>
          <w:b/>
          <w:bCs/>
          <w:sz w:val="24"/>
          <w:lang w:val="pt-BR"/>
        </w:rPr>
        <w:t>Nome</w:t>
      </w:r>
    </w:p>
    <w:p w14:paraId="1B4DC1DB" w14:textId="77777777" w:rsidR="00A62223" w:rsidRPr="00645FB8" w:rsidRDefault="00A62223" w:rsidP="00A62223">
      <w:pPr>
        <w:pStyle w:val="Corpodetexto3"/>
        <w:spacing w:line="360" w:lineRule="auto"/>
        <w:jc w:val="center"/>
        <w:rPr>
          <w:rFonts w:ascii="Arial" w:hAnsi="Arial" w:cs="Arial"/>
          <w:i/>
          <w:iCs/>
          <w:sz w:val="24"/>
          <w:lang w:val="pt-BR"/>
        </w:rPr>
      </w:pPr>
      <w:r w:rsidRPr="00645FB8">
        <w:rPr>
          <w:rFonts w:ascii="Arial" w:hAnsi="Arial" w:cs="Arial"/>
          <w:i/>
          <w:iCs/>
          <w:sz w:val="24"/>
          <w:lang w:val="pt-BR"/>
        </w:rPr>
        <w:t>Defensor</w:t>
      </w:r>
      <w:r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Público</w:t>
      </w:r>
      <w:r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do Distrito Federal</w:t>
      </w:r>
    </w:p>
    <w:p w14:paraId="00DE4DFB" w14:textId="77777777" w:rsidR="00A02251" w:rsidRDefault="00A02251" w:rsidP="00A02251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32B6C0D4" w14:textId="11A4D724" w:rsidR="00EC42D9" w:rsidRPr="00D668E2" w:rsidRDefault="00EC42D9" w:rsidP="00D668E2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sectPr w:rsidR="00EC42D9" w:rsidRPr="00D668E2" w:rsidSect="00EC42D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51854" w14:textId="77777777" w:rsidR="008C482E" w:rsidRDefault="008C482E">
      <w:pPr>
        <w:spacing w:after="0" w:line="240" w:lineRule="auto"/>
      </w:pPr>
      <w:r>
        <w:separator/>
      </w:r>
    </w:p>
  </w:endnote>
  <w:endnote w:type="continuationSeparator" w:id="0">
    <w:p w14:paraId="18D0E6D6" w14:textId="77777777" w:rsidR="008C482E" w:rsidRDefault="008C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74B0C" w14:textId="77777777" w:rsidR="00445333" w:rsidRPr="006007B0" w:rsidRDefault="00445333" w:rsidP="00445333">
    <w:pPr>
      <w:pStyle w:val="NormalWeb"/>
      <w:spacing w:before="0" w:beforeAutospacing="0" w:after="0" w:afterAutospacing="0" w:line="360" w:lineRule="auto"/>
      <w:jc w:val="center"/>
      <w:rPr>
        <w:b/>
        <w:caps/>
        <w:sz w:val="16"/>
        <w:szCs w:val="16"/>
      </w:rPr>
    </w:pPr>
    <w:r w:rsidRPr="006007B0">
      <w:rPr>
        <w:b/>
        <w:caps/>
        <w:sz w:val="16"/>
        <w:szCs w:val="16"/>
      </w:rPr>
      <w:t xml:space="preserve">Defensoria Pública do Distrito Federal - Núcleo de </w:t>
    </w:r>
    <w:r>
      <w:rPr>
        <w:b/>
        <w:caps/>
        <w:sz w:val="16"/>
        <w:szCs w:val="16"/>
      </w:rPr>
      <w:t>BRASÍLIA</w:t>
    </w:r>
  </w:p>
  <w:p w14:paraId="2226BE76" w14:textId="77777777" w:rsidR="00445333" w:rsidRDefault="00445333" w:rsidP="00445333">
    <w:pPr>
      <w:pStyle w:val="NormalWeb"/>
      <w:spacing w:before="0" w:beforeAutospacing="0" w:after="0" w:afterAutospacing="0" w:line="360" w:lineRule="auto"/>
      <w:jc w:val="center"/>
      <w:rPr>
        <w:sz w:val="16"/>
        <w:szCs w:val="16"/>
      </w:rPr>
    </w:pPr>
    <w:r w:rsidRPr="00C123A7">
      <w:rPr>
        <w:sz w:val="16"/>
        <w:szCs w:val="16"/>
      </w:rPr>
      <w:t xml:space="preserve">Praça Municipal - Lote 1, Bloco b, </w:t>
    </w:r>
    <w:r>
      <w:rPr>
        <w:sz w:val="16"/>
        <w:szCs w:val="16"/>
      </w:rPr>
      <w:t>1º andar, Brasília/DF.</w:t>
    </w:r>
  </w:p>
  <w:p w14:paraId="3FC553A8" w14:textId="57F61BD9" w:rsidR="00EC42D9" w:rsidRDefault="00EC42D9" w:rsidP="00EC42D9">
    <w:pPr>
      <w:pStyle w:val="Rodap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1054A" w14:textId="77777777" w:rsidR="008C482E" w:rsidRDefault="008C482E">
      <w:pPr>
        <w:spacing w:after="0" w:line="240" w:lineRule="auto"/>
      </w:pPr>
      <w:r>
        <w:separator/>
      </w:r>
    </w:p>
  </w:footnote>
  <w:footnote w:type="continuationSeparator" w:id="0">
    <w:p w14:paraId="364BDEC5" w14:textId="77777777" w:rsidR="008C482E" w:rsidRDefault="008C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DA1D" w14:textId="77777777" w:rsidR="00EC42D9" w:rsidRDefault="00000000">
    <w:pPr>
      <w:pStyle w:val="Cabealho"/>
    </w:pPr>
    <w:r>
      <w:rPr>
        <w:noProof/>
      </w:rPr>
      <w:pict w14:anchorId="1D930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30" type="#_x0000_t75" style="position:absolute;margin-left:0;margin-top:0;width:596.4pt;height:820.5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CBD93A0">
        <v:shape id="WordPictureWatermark14862060" o:spid="_x0000_s1029" type="#_x0000_t75" style="position:absolute;margin-left:0;margin-top:0;width:595.9pt;height:821.0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FD523E2">
        <v:shape id="WordPictureWatermark14818255" o:spid="_x0000_s1028" type="#_x0000_t75" style="position:absolute;margin-left:0;margin-top:0;width:595.9pt;height:821.0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8ACD" w14:textId="77777777" w:rsidR="00EC42D9" w:rsidRDefault="00EC42D9" w:rsidP="00EC42D9">
    <w:pPr>
      <w:pStyle w:val="Cabealho"/>
      <w:ind w:left="-851"/>
      <w:jc w:val="center"/>
    </w:pPr>
    <w:r>
      <w:rPr>
        <w:noProof/>
      </w:rPr>
      <w:drawing>
        <wp:inline distT="0" distB="0" distL="0" distR="0" wp14:anchorId="2ECE8F3C" wp14:editId="4559CDA2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8D3DC" w14:textId="77777777" w:rsidR="00EC42D9" w:rsidRDefault="00EC42D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E25B" w14:textId="77777777" w:rsidR="00EC42D9" w:rsidRDefault="00000000">
    <w:pPr>
      <w:pStyle w:val="Cabealho"/>
    </w:pPr>
    <w:r>
      <w:rPr>
        <w:noProof/>
      </w:rPr>
      <w:pict w14:anchorId="03831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27" type="#_x0000_t75" style="position:absolute;margin-left:0;margin-top:0;width:596.4pt;height:820.5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62BF988">
        <v:shape id="WordPictureWatermark14862059" o:spid="_x0000_s1026" type="#_x0000_t75" style="position:absolute;margin-left:0;margin-top:0;width:595.9pt;height:821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010B629">
        <v:shape id="WordPictureWatermark14818254" o:spid="_x0000_s1025" type="#_x0000_t75" style="position:absolute;margin-left:0;margin-top:0;width:595.9pt;height:821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F07B7"/>
    <w:multiLevelType w:val="hybridMultilevel"/>
    <w:tmpl w:val="37D2CFD0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348F0A9C"/>
    <w:multiLevelType w:val="hybridMultilevel"/>
    <w:tmpl w:val="7EB2035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4B54500"/>
    <w:multiLevelType w:val="hybridMultilevel"/>
    <w:tmpl w:val="37D2CFD0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3F847577"/>
    <w:multiLevelType w:val="hybridMultilevel"/>
    <w:tmpl w:val="37D2CFD0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6B0C7A32"/>
    <w:multiLevelType w:val="multilevel"/>
    <w:tmpl w:val="1128AC10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2160"/>
      </w:pPr>
      <w:rPr>
        <w:rFonts w:hint="default"/>
      </w:rPr>
    </w:lvl>
  </w:abstractNum>
  <w:abstractNum w:abstractNumId="5" w15:restartNumberingAfterBreak="0">
    <w:nsid w:val="6D291038"/>
    <w:multiLevelType w:val="hybridMultilevel"/>
    <w:tmpl w:val="A182A4D0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07A52D3"/>
    <w:multiLevelType w:val="hybridMultilevel"/>
    <w:tmpl w:val="EC1442AA"/>
    <w:lvl w:ilvl="0" w:tplc="78724C6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64203A7"/>
    <w:multiLevelType w:val="multilevel"/>
    <w:tmpl w:val="06AEA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B1D4D1A"/>
    <w:multiLevelType w:val="hybridMultilevel"/>
    <w:tmpl w:val="5C7212B6"/>
    <w:lvl w:ilvl="0" w:tplc="C31EE96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52664810">
    <w:abstractNumId w:val="4"/>
  </w:num>
  <w:num w:numId="2" w16cid:durableId="893006666">
    <w:abstractNumId w:val="6"/>
  </w:num>
  <w:num w:numId="3" w16cid:durableId="68769644">
    <w:abstractNumId w:val="5"/>
  </w:num>
  <w:num w:numId="4" w16cid:durableId="1752507011">
    <w:abstractNumId w:val="1"/>
  </w:num>
  <w:num w:numId="5" w16cid:durableId="550504494">
    <w:abstractNumId w:val="0"/>
  </w:num>
  <w:num w:numId="6" w16cid:durableId="1515415602">
    <w:abstractNumId w:val="2"/>
  </w:num>
  <w:num w:numId="7" w16cid:durableId="630860825">
    <w:abstractNumId w:val="3"/>
  </w:num>
  <w:num w:numId="8" w16cid:durableId="1404831813">
    <w:abstractNumId w:val="7"/>
  </w:num>
  <w:num w:numId="9" w16cid:durableId="13733831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51"/>
    <w:rsid w:val="00025B11"/>
    <w:rsid w:val="00026C8B"/>
    <w:rsid w:val="00032195"/>
    <w:rsid w:val="00062488"/>
    <w:rsid w:val="00064EF6"/>
    <w:rsid w:val="0007115F"/>
    <w:rsid w:val="00076CBA"/>
    <w:rsid w:val="00083206"/>
    <w:rsid w:val="000A138F"/>
    <w:rsid w:val="000A4DD1"/>
    <w:rsid w:val="000B57B5"/>
    <w:rsid w:val="00100E55"/>
    <w:rsid w:val="00102C13"/>
    <w:rsid w:val="0012164E"/>
    <w:rsid w:val="0014395C"/>
    <w:rsid w:val="0014643F"/>
    <w:rsid w:val="00156E3E"/>
    <w:rsid w:val="0016045C"/>
    <w:rsid w:val="0019050C"/>
    <w:rsid w:val="001A5EBF"/>
    <w:rsid w:val="001B48F7"/>
    <w:rsid w:val="001E1C90"/>
    <w:rsid w:val="002313E6"/>
    <w:rsid w:val="0023462B"/>
    <w:rsid w:val="00255C0A"/>
    <w:rsid w:val="00267E4B"/>
    <w:rsid w:val="002B4654"/>
    <w:rsid w:val="002D02B4"/>
    <w:rsid w:val="002E3C5B"/>
    <w:rsid w:val="002E4332"/>
    <w:rsid w:val="002F74B2"/>
    <w:rsid w:val="00305ECF"/>
    <w:rsid w:val="003371A3"/>
    <w:rsid w:val="00342F00"/>
    <w:rsid w:val="00370D95"/>
    <w:rsid w:val="0039591B"/>
    <w:rsid w:val="003A5667"/>
    <w:rsid w:val="003B2E07"/>
    <w:rsid w:val="003C167D"/>
    <w:rsid w:val="003D5DCC"/>
    <w:rsid w:val="003E4E99"/>
    <w:rsid w:val="004068F0"/>
    <w:rsid w:val="0041764D"/>
    <w:rsid w:val="004310F1"/>
    <w:rsid w:val="00445333"/>
    <w:rsid w:val="0046580E"/>
    <w:rsid w:val="00474A07"/>
    <w:rsid w:val="0048231F"/>
    <w:rsid w:val="004A505C"/>
    <w:rsid w:val="00522EF4"/>
    <w:rsid w:val="00536559"/>
    <w:rsid w:val="0055003C"/>
    <w:rsid w:val="00563D6F"/>
    <w:rsid w:val="005755AB"/>
    <w:rsid w:val="00583627"/>
    <w:rsid w:val="00587865"/>
    <w:rsid w:val="005D4720"/>
    <w:rsid w:val="005F1333"/>
    <w:rsid w:val="00601DB4"/>
    <w:rsid w:val="00606858"/>
    <w:rsid w:val="006318A0"/>
    <w:rsid w:val="0063566E"/>
    <w:rsid w:val="006366DA"/>
    <w:rsid w:val="00636BA1"/>
    <w:rsid w:val="00637369"/>
    <w:rsid w:val="0065389E"/>
    <w:rsid w:val="00666C79"/>
    <w:rsid w:val="00677856"/>
    <w:rsid w:val="00682211"/>
    <w:rsid w:val="006A4989"/>
    <w:rsid w:val="006B6EB4"/>
    <w:rsid w:val="00700CFA"/>
    <w:rsid w:val="007207AC"/>
    <w:rsid w:val="00733BDA"/>
    <w:rsid w:val="00740690"/>
    <w:rsid w:val="00750E37"/>
    <w:rsid w:val="00797727"/>
    <w:rsid w:val="007B7C06"/>
    <w:rsid w:val="007C73EB"/>
    <w:rsid w:val="007D3750"/>
    <w:rsid w:val="008209E8"/>
    <w:rsid w:val="00850927"/>
    <w:rsid w:val="00864DFA"/>
    <w:rsid w:val="0086713B"/>
    <w:rsid w:val="008910C3"/>
    <w:rsid w:val="008C482E"/>
    <w:rsid w:val="008F2D94"/>
    <w:rsid w:val="008F347E"/>
    <w:rsid w:val="009043F0"/>
    <w:rsid w:val="00931149"/>
    <w:rsid w:val="00973A59"/>
    <w:rsid w:val="009D6C46"/>
    <w:rsid w:val="009E75B6"/>
    <w:rsid w:val="00A00787"/>
    <w:rsid w:val="00A02251"/>
    <w:rsid w:val="00A1769A"/>
    <w:rsid w:val="00A50E0F"/>
    <w:rsid w:val="00A62223"/>
    <w:rsid w:val="00A768FB"/>
    <w:rsid w:val="00AB1405"/>
    <w:rsid w:val="00AB7D5D"/>
    <w:rsid w:val="00AD08B3"/>
    <w:rsid w:val="00AD4351"/>
    <w:rsid w:val="00AE37F3"/>
    <w:rsid w:val="00AF50D1"/>
    <w:rsid w:val="00B23183"/>
    <w:rsid w:val="00B57B5E"/>
    <w:rsid w:val="00B66E4B"/>
    <w:rsid w:val="00B72538"/>
    <w:rsid w:val="00B92A68"/>
    <w:rsid w:val="00BD7CC6"/>
    <w:rsid w:val="00BE19FA"/>
    <w:rsid w:val="00BE3A93"/>
    <w:rsid w:val="00BF6B2E"/>
    <w:rsid w:val="00C03137"/>
    <w:rsid w:val="00C25898"/>
    <w:rsid w:val="00C27DC0"/>
    <w:rsid w:val="00C333EB"/>
    <w:rsid w:val="00C4247F"/>
    <w:rsid w:val="00C43357"/>
    <w:rsid w:val="00C43C61"/>
    <w:rsid w:val="00C618D3"/>
    <w:rsid w:val="00C70091"/>
    <w:rsid w:val="00C9383E"/>
    <w:rsid w:val="00CA30D2"/>
    <w:rsid w:val="00CB5E43"/>
    <w:rsid w:val="00CC465B"/>
    <w:rsid w:val="00CC7842"/>
    <w:rsid w:val="00CD0CC0"/>
    <w:rsid w:val="00D1188C"/>
    <w:rsid w:val="00D14023"/>
    <w:rsid w:val="00D15F74"/>
    <w:rsid w:val="00D16E14"/>
    <w:rsid w:val="00D53EC0"/>
    <w:rsid w:val="00D668E2"/>
    <w:rsid w:val="00D83E72"/>
    <w:rsid w:val="00D86D12"/>
    <w:rsid w:val="00D9481A"/>
    <w:rsid w:val="00DA338C"/>
    <w:rsid w:val="00DC2F62"/>
    <w:rsid w:val="00DC5D4E"/>
    <w:rsid w:val="00DD1678"/>
    <w:rsid w:val="00DD512F"/>
    <w:rsid w:val="00DE263C"/>
    <w:rsid w:val="00DE48C9"/>
    <w:rsid w:val="00DF6411"/>
    <w:rsid w:val="00E1132D"/>
    <w:rsid w:val="00E209FE"/>
    <w:rsid w:val="00E250E9"/>
    <w:rsid w:val="00E4280B"/>
    <w:rsid w:val="00E75FB3"/>
    <w:rsid w:val="00EC42D9"/>
    <w:rsid w:val="00F041C2"/>
    <w:rsid w:val="00F16A25"/>
    <w:rsid w:val="00F54C52"/>
    <w:rsid w:val="00F6294E"/>
    <w:rsid w:val="00F85541"/>
    <w:rsid w:val="00F860A6"/>
    <w:rsid w:val="00F871AF"/>
    <w:rsid w:val="00F939B5"/>
    <w:rsid w:val="00FB1DB4"/>
    <w:rsid w:val="00FC39BF"/>
    <w:rsid w:val="00FD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91EC6"/>
  <w14:defaultImageDpi w14:val="32767"/>
  <w15:chartTrackingRefBased/>
  <w15:docId w15:val="{8DEF16D7-F28F-E645-BFDC-90964A20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2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02251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A02251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07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02251"/>
    <w:rPr>
      <w:rFonts w:ascii="Calibri" w:eastAsia="Times New Roman" w:hAnsi="Calibri" w:cs="Times New Roman"/>
      <w:b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A02251"/>
    <w:rPr>
      <w:rFonts w:ascii="Times New Roman" w:eastAsia="Times New Roman" w:hAnsi="Times New Roman" w:cs="Times New Roman"/>
      <w:sz w:val="36"/>
      <w:lang w:val="x-none" w:eastAsia="pt-BR"/>
    </w:rPr>
  </w:style>
  <w:style w:type="paragraph" w:styleId="Cabealho">
    <w:name w:val="header"/>
    <w:basedOn w:val="Normal"/>
    <w:link w:val="CabealhoChar"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022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251"/>
    <w:rPr>
      <w:rFonts w:eastAsiaTheme="minorEastAsia"/>
      <w:sz w:val="22"/>
      <w:szCs w:val="22"/>
      <w:lang w:eastAsia="pt-BR"/>
    </w:rPr>
  </w:style>
  <w:style w:type="paragraph" w:styleId="Corpodetexto2">
    <w:name w:val="Body Text 2"/>
    <w:basedOn w:val="Normal"/>
    <w:link w:val="Corpodetexto2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A02251"/>
    <w:rPr>
      <w:rFonts w:ascii="Times New Roman" w:eastAsia="Times New Roman" w:hAnsi="Times New Roman" w:cs="Times New Roman"/>
      <w:i/>
      <w:iCs/>
      <w:sz w:val="36"/>
      <w:lang w:val="x-none" w:eastAsia="pt-BR"/>
    </w:rPr>
  </w:style>
  <w:style w:type="paragraph" w:styleId="Corpodetexto3">
    <w:name w:val="Body Text 3"/>
    <w:basedOn w:val="Normal"/>
    <w:link w:val="Corpodetexto3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A02251"/>
    <w:rPr>
      <w:rFonts w:ascii="Times New Roman" w:eastAsia="Times New Roman" w:hAnsi="Times New Roman" w:cs="Times New Roman"/>
      <w:sz w:val="28"/>
      <w:lang w:val="x-none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36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3655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3655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E4332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C16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C167D"/>
    <w:rPr>
      <w:rFonts w:eastAsiaTheme="minorEastAsia"/>
      <w:sz w:val="22"/>
      <w:szCs w:val="22"/>
      <w:lang w:eastAsia="pt-BR"/>
    </w:rPr>
  </w:style>
  <w:style w:type="paragraph" w:styleId="PargrafodaLista">
    <w:name w:val="List Paragraph"/>
    <w:basedOn w:val="Normal"/>
    <w:qFormat/>
    <w:rsid w:val="003C167D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7207A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1C2"/>
    <w:rPr>
      <w:rFonts w:ascii="Tahoma" w:eastAsiaTheme="minorEastAsia" w:hAnsi="Tahoma" w:cs="Tahoma"/>
      <w:sz w:val="16"/>
      <w:szCs w:val="16"/>
      <w:lang w:eastAsia="pt-BR"/>
    </w:rPr>
  </w:style>
  <w:style w:type="character" w:styleId="nfase">
    <w:name w:val="Emphasis"/>
    <w:uiPriority w:val="20"/>
    <w:qFormat/>
    <w:rsid w:val="00636BA1"/>
    <w:rPr>
      <w:i/>
      <w:iCs/>
    </w:rPr>
  </w:style>
  <w:style w:type="paragraph" w:styleId="NormalWeb">
    <w:name w:val="Normal (Web)"/>
    <w:basedOn w:val="Normal"/>
    <w:uiPriority w:val="99"/>
    <w:rsid w:val="00445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5C54D-0A4D-4471-94BE-860F3E04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10</Pages>
  <Words>2470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Beatriz Pacheco Santa Ana Pacheco Santa Ana</dc:creator>
  <cp:keywords/>
  <dc:description/>
  <cp:lastModifiedBy>Guilherme</cp:lastModifiedBy>
  <cp:revision>82</cp:revision>
  <cp:lastPrinted>2020-12-07T21:36:00Z</cp:lastPrinted>
  <dcterms:created xsi:type="dcterms:W3CDTF">2020-11-24T02:07:00Z</dcterms:created>
  <dcterms:modified xsi:type="dcterms:W3CDTF">2022-07-28T21:23:00Z</dcterms:modified>
</cp:coreProperties>
</file>