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7D4BD" w14:textId="0044031A" w:rsidR="008553A7" w:rsidRPr="008553A7" w:rsidRDefault="008553A7" w:rsidP="008553A7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8553A7">
        <w:rPr>
          <w:rFonts w:ascii="Arial" w:eastAsia="Times New Roman" w:hAnsi="Arial" w:cs="Arial"/>
          <w:b/>
          <w:sz w:val="24"/>
          <w:szCs w:val="24"/>
        </w:rPr>
        <w:t xml:space="preserve">AO JUÍZO DA </w:t>
      </w:r>
      <w:r w:rsidR="00DE0515">
        <w:rPr>
          <w:rFonts w:ascii="Arial" w:eastAsia="Times New Roman" w:hAnsi="Arial" w:cs="Arial"/>
          <w:b/>
          <w:sz w:val="24"/>
          <w:szCs w:val="24"/>
        </w:rPr>
        <w:t>X</w:t>
      </w:r>
      <w:r w:rsidRPr="008553A7">
        <w:rPr>
          <w:rFonts w:ascii="Arial" w:eastAsia="Times New Roman" w:hAnsi="Arial" w:cs="Arial"/>
          <w:b/>
          <w:sz w:val="24"/>
          <w:szCs w:val="24"/>
        </w:rPr>
        <w:t>ª VARA ENTORPECENTES DO DISTRITO FEDERAL</w:t>
      </w:r>
    </w:p>
    <w:p w14:paraId="1EE9501F" w14:textId="77777777" w:rsidR="008553A7" w:rsidRPr="008553A7" w:rsidRDefault="008553A7" w:rsidP="008553A7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77B37998" w14:textId="77777777" w:rsidR="008553A7" w:rsidRPr="008553A7" w:rsidRDefault="008553A7" w:rsidP="008553A7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10"/>
          <w:szCs w:val="10"/>
        </w:rPr>
      </w:pPr>
    </w:p>
    <w:p w14:paraId="07EB63BF" w14:textId="4AFC49E2" w:rsidR="008553A7" w:rsidRPr="008553A7" w:rsidRDefault="008553A7" w:rsidP="008553A7">
      <w:pPr>
        <w:spacing w:line="36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</w:pPr>
      <w:r w:rsidRPr="008553A7"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  <w:t xml:space="preserve">Processo nº. </w:t>
      </w:r>
      <w:r w:rsidR="00DE0515"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  <w:t>XXXX</w:t>
      </w:r>
    </w:p>
    <w:p w14:paraId="78B48FE9" w14:textId="77777777" w:rsidR="008553A7" w:rsidRDefault="008553A7" w:rsidP="008553A7">
      <w:pPr>
        <w:spacing w:line="240" w:lineRule="auto"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14:paraId="1A6E5748" w14:textId="77777777" w:rsidR="008553A7" w:rsidRPr="008553A7" w:rsidRDefault="008553A7" w:rsidP="008553A7">
      <w:pPr>
        <w:spacing w:line="240" w:lineRule="auto"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14:paraId="4201D634" w14:textId="77777777" w:rsidR="008553A7" w:rsidRPr="008553A7" w:rsidRDefault="008553A7" w:rsidP="008553A7">
      <w:pPr>
        <w:tabs>
          <w:tab w:val="left" w:pos="3390"/>
        </w:tabs>
        <w:spacing w:after="0" w:line="360" w:lineRule="auto"/>
        <w:ind w:firstLine="1620"/>
        <w:jc w:val="both"/>
        <w:rPr>
          <w:rFonts w:ascii="Arial" w:eastAsia="Times New Roman" w:hAnsi="Arial" w:cs="Arial"/>
          <w:sz w:val="10"/>
          <w:szCs w:val="10"/>
        </w:rPr>
      </w:pPr>
    </w:p>
    <w:p w14:paraId="50414868" w14:textId="51637DA8" w:rsidR="008553A7" w:rsidRPr="00A312F7" w:rsidRDefault="008553A7" w:rsidP="008553A7">
      <w:pPr>
        <w:pStyle w:val="Corpodetexto3"/>
        <w:spacing w:line="360" w:lineRule="auto"/>
        <w:ind w:firstLine="709"/>
        <w:rPr>
          <w:rFonts w:ascii="Arial" w:hAnsi="Arial" w:cs="Arial"/>
          <w:b/>
          <w:bCs/>
          <w:sz w:val="24"/>
          <w:lang w:val="pt-BR"/>
        </w:rPr>
      </w:pPr>
      <w:r w:rsidRPr="008553A7">
        <w:rPr>
          <w:rFonts w:ascii="Arial" w:eastAsia="Calibri" w:hAnsi="Arial" w:cs="Arial"/>
          <w:b/>
          <w:bCs/>
          <w:color w:val="000000"/>
          <w:sz w:val="24"/>
          <w:lang w:eastAsia="en-US"/>
        </w:rPr>
        <w:t xml:space="preserve"> </w:t>
      </w:r>
      <w:r w:rsidR="00DE0515">
        <w:rPr>
          <w:rFonts w:ascii="Arial" w:eastAsia="Calibri" w:hAnsi="Arial" w:cs="Arial"/>
          <w:b/>
          <w:bCs/>
          <w:color w:val="000000"/>
          <w:sz w:val="24"/>
          <w:lang w:val="pt-BR" w:eastAsia="en-US"/>
        </w:rPr>
        <w:t>XXXXXXX</w:t>
      </w:r>
      <w:r w:rsidRPr="008553A7">
        <w:rPr>
          <w:rFonts w:ascii="Arial" w:eastAsia="Calibri" w:hAnsi="Arial" w:cs="Arial"/>
          <w:sz w:val="24"/>
          <w:lang w:eastAsia="en-US"/>
        </w:rPr>
        <w:t xml:space="preserve">, já devidamente qualificado nos autos do processo em epígrafe, vem, por intermédio da Defensoria Pública do Distrito Federal, com fulcro no art. 403, § 3º, do Código de Processo Penal, </w:t>
      </w:r>
      <w:r w:rsidRPr="00FB5295">
        <w:rPr>
          <w:rFonts w:ascii="Arial" w:hAnsi="Arial" w:cs="Arial"/>
          <w:sz w:val="24"/>
          <w:lang w:val="pt-BR"/>
        </w:rPr>
        <w:t xml:space="preserve">apresentar </w:t>
      </w:r>
    </w:p>
    <w:p w14:paraId="73839405" w14:textId="77777777" w:rsidR="008553A7" w:rsidRPr="002F2A0D" w:rsidRDefault="008553A7" w:rsidP="008553A7">
      <w:pPr>
        <w:pStyle w:val="Corpodetexto3"/>
        <w:rPr>
          <w:rFonts w:ascii="Arial" w:hAnsi="Arial" w:cs="Arial"/>
          <w:sz w:val="24"/>
          <w:lang w:val="pt-BR"/>
        </w:rPr>
      </w:pPr>
    </w:p>
    <w:p w14:paraId="19D286A5" w14:textId="70D86587" w:rsidR="008553A7" w:rsidRDefault="008553A7" w:rsidP="008553A7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i/>
          <w:iCs/>
          <w:sz w:val="24"/>
          <w:lang w:val="pt-BR"/>
        </w:rPr>
        <w:t xml:space="preserve">ALEGAÇÕES FINAIS </w:t>
      </w:r>
    </w:p>
    <w:p w14:paraId="3C84211D" w14:textId="77777777" w:rsidR="008553A7" w:rsidRDefault="008553A7" w:rsidP="008553A7">
      <w:pPr>
        <w:pStyle w:val="Corpodetexto3"/>
        <w:rPr>
          <w:rFonts w:ascii="Arial" w:hAnsi="Arial" w:cs="Arial"/>
          <w:sz w:val="24"/>
        </w:rPr>
      </w:pPr>
    </w:p>
    <w:p w14:paraId="33F71FB7" w14:textId="77777777" w:rsidR="008553A7" w:rsidRDefault="008553A7" w:rsidP="008553A7">
      <w:pPr>
        <w:pStyle w:val="Corpodetexto3"/>
        <w:spacing w:line="360" w:lineRule="auto"/>
        <w:rPr>
          <w:rFonts w:ascii="Arial" w:hAnsi="Arial" w:cs="Arial"/>
          <w:sz w:val="24"/>
        </w:rPr>
      </w:pPr>
      <w:r w:rsidRPr="004F7546">
        <w:rPr>
          <w:rFonts w:ascii="Arial" w:hAnsi="Arial" w:cs="Arial"/>
          <w:sz w:val="24"/>
        </w:rPr>
        <w:t xml:space="preserve">pelos fatos e fundamentos </w:t>
      </w:r>
      <w:r>
        <w:rPr>
          <w:rFonts w:ascii="Arial" w:hAnsi="Arial" w:cs="Arial"/>
          <w:sz w:val="24"/>
          <w:lang w:val="pt-BR"/>
        </w:rPr>
        <w:t>a seguir expostos.</w:t>
      </w:r>
    </w:p>
    <w:p w14:paraId="22F33C6D" w14:textId="401066B7" w:rsidR="008553A7" w:rsidRPr="008553A7" w:rsidRDefault="008553A7" w:rsidP="008553A7">
      <w:pPr>
        <w:spacing w:line="36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6861E1CF" w14:textId="77777777" w:rsidR="008553A7" w:rsidRPr="008553A7" w:rsidRDefault="008553A7" w:rsidP="008553A7">
      <w:pPr>
        <w:keepNext/>
        <w:keepLines/>
        <w:spacing w:before="40" w:after="0" w:line="360" w:lineRule="auto"/>
        <w:outlineLvl w:val="2"/>
        <w:rPr>
          <w:rFonts w:ascii="Arial" w:eastAsia="Times New Roman" w:hAnsi="Arial" w:cs="Arial"/>
          <w:b/>
          <w:iCs/>
          <w:color w:val="1F3763"/>
          <w:sz w:val="10"/>
          <w:szCs w:val="10"/>
          <w:lang w:eastAsia="en-US"/>
        </w:rPr>
      </w:pPr>
    </w:p>
    <w:p w14:paraId="0E20B598" w14:textId="77777777" w:rsidR="008553A7" w:rsidRPr="008553A7" w:rsidRDefault="008553A7" w:rsidP="008553A7">
      <w:pPr>
        <w:keepNext/>
        <w:keepLines/>
        <w:spacing w:before="40" w:after="0" w:line="360" w:lineRule="auto"/>
        <w:outlineLvl w:val="2"/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</w:pPr>
      <w:r w:rsidRPr="008553A7"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t>1 SÍNTESE DOS FATOS</w:t>
      </w:r>
    </w:p>
    <w:p w14:paraId="0F9CECF1" w14:textId="6BB045CC" w:rsidR="008553A7" w:rsidRPr="008553A7" w:rsidRDefault="008553A7" w:rsidP="00DE0515">
      <w:pPr>
        <w:spacing w:line="36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8553A7">
        <w:rPr>
          <w:rFonts w:ascii="Arial" w:eastAsia="Calibri" w:hAnsi="Arial" w:cs="Arial"/>
          <w:sz w:val="24"/>
          <w:szCs w:val="24"/>
          <w:lang w:eastAsia="en-US"/>
        </w:rPr>
        <w:t xml:space="preserve">O acusado foi denunciado pelo Ministério Público em razão da suposta prática do crime previsto no artigo 33, </w:t>
      </w:r>
      <w:r w:rsidRPr="008553A7">
        <w:rPr>
          <w:rFonts w:ascii="Arial" w:eastAsia="Calibri" w:hAnsi="Arial" w:cs="Arial"/>
          <w:i/>
          <w:sz w:val="24"/>
          <w:szCs w:val="24"/>
          <w:lang w:eastAsia="en-US"/>
        </w:rPr>
        <w:t>caput</w:t>
      </w:r>
      <w:r w:rsidRPr="008553A7">
        <w:rPr>
          <w:rFonts w:ascii="Arial" w:eastAsia="Calibri" w:hAnsi="Arial" w:cs="Arial"/>
          <w:sz w:val="24"/>
          <w:szCs w:val="24"/>
          <w:lang w:eastAsia="en-US"/>
        </w:rPr>
        <w:t xml:space="preserve">, da Lei nº 11.343/2006, porque, em tese, </w:t>
      </w:r>
      <w:r w:rsidR="00DE0515">
        <w:rPr>
          <w:rFonts w:ascii="Arial" w:eastAsia="Calibri" w:hAnsi="Arial" w:cs="Arial"/>
          <w:sz w:val="24"/>
          <w:szCs w:val="24"/>
          <w:lang w:eastAsia="en-US"/>
        </w:rPr>
        <w:t>XXXXX</w:t>
      </w:r>
    </w:p>
    <w:p w14:paraId="0B12D231" w14:textId="4AAB47C2" w:rsidR="008553A7" w:rsidRDefault="008553A7" w:rsidP="00ED3B32">
      <w:pPr>
        <w:tabs>
          <w:tab w:val="left" w:pos="9071"/>
        </w:tabs>
        <w:spacing w:before="120" w:after="12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</w:rPr>
      </w:pPr>
      <w:r w:rsidRPr="008553A7">
        <w:rPr>
          <w:rFonts w:ascii="Arial" w:eastAsia="Times New Roman" w:hAnsi="Arial" w:cs="Arial"/>
          <w:sz w:val="24"/>
          <w:szCs w:val="24"/>
          <w:lang w:eastAsia="x-none"/>
        </w:rPr>
        <w:t xml:space="preserve">O processo seguiu seu trâmite normal e, findada a instrução, </w:t>
      </w:r>
      <w:r w:rsidRPr="008553A7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o </w:t>
      </w:r>
      <w:r w:rsidRPr="008553A7">
        <w:rPr>
          <w:rFonts w:ascii="Arial" w:eastAsia="Times New Roman" w:hAnsi="Arial" w:cs="Arial"/>
          <w:sz w:val="24"/>
          <w:szCs w:val="24"/>
          <w:lang w:eastAsia="x-none"/>
        </w:rPr>
        <w:t xml:space="preserve">Ministério Público </w:t>
      </w:r>
      <w:r w:rsidRPr="008553A7">
        <w:rPr>
          <w:rFonts w:ascii="Arial" w:eastAsia="Times New Roman" w:hAnsi="Arial" w:cs="Arial"/>
          <w:sz w:val="24"/>
          <w:szCs w:val="24"/>
          <w:lang w:val="x-none" w:eastAsia="x-none"/>
        </w:rPr>
        <w:t>requereu a condenação d</w:t>
      </w:r>
      <w:r w:rsidRPr="008553A7">
        <w:rPr>
          <w:rFonts w:ascii="Arial" w:eastAsia="Times New Roman" w:hAnsi="Arial" w:cs="Arial"/>
          <w:sz w:val="24"/>
          <w:szCs w:val="24"/>
          <w:lang w:eastAsia="x-none"/>
        </w:rPr>
        <w:t>o</w:t>
      </w:r>
      <w:r w:rsidRPr="008553A7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acusad</w:t>
      </w:r>
      <w:r w:rsidRPr="008553A7">
        <w:rPr>
          <w:rFonts w:ascii="Arial" w:eastAsia="Times New Roman" w:hAnsi="Arial" w:cs="Arial"/>
          <w:sz w:val="24"/>
          <w:szCs w:val="24"/>
          <w:lang w:eastAsia="x-none"/>
        </w:rPr>
        <w:t>o</w:t>
      </w:r>
      <w:r w:rsidRPr="008553A7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</w:t>
      </w:r>
      <w:r w:rsidRPr="008553A7">
        <w:rPr>
          <w:rFonts w:ascii="Arial" w:eastAsia="Times New Roman" w:hAnsi="Arial" w:cs="Arial"/>
          <w:sz w:val="24"/>
          <w:szCs w:val="24"/>
          <w:lang w:eastAsia="x-none"/>
        </w:rPr>
        <w:t xml:space="preserve">nos exatos termos da denúncia.  </w:t>
      </w:r>
    </w:p>
    <w:p w14:paraId="27ECB48C" w14:textId="5A833602" w:rsidR="00ED3B32" w:rsidRDefault="00ED3B32" w:rsidP="00ED3B32">
      <w:pPr>
        <w:tabs>
          <w:tab w:val="left" w:pos="9071"/>
        </w:tabs>
        <w:spacing w:before="120" w:after="12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Os autos foram encaminhados à Defensoria Pública para manifestação.</w:t>
      </w:r>
    </w:p>
    <w:p w14:paraId="5C48FA84" w14:textId="77777777" w:rsidR="00ED3B32" w:rsidRPr="00ED3B32" w:rsidRDefault="00ED3B32" w:rsidP="00ED3B32">
      <w:pPr>
        <w:tabs>
          <w:tab w:val="left" w:pos="9071"/>
        </w:tabs>
        <w:spacing w:before="120" w:after="12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</w:rPr>
      </w:pPr>
    </w:p>
    <w:p w14:paraId="1CA0DC8B" w14:textId="5940DA9D" w:rsidR="007D3008" w:rsidRPr="008553A7" w:rsidRDefault="008553A7" w:rsidP="00ED3B32">
      <w:pPr>
        <w:widowControl w:val="0"/>
        <w:autoSpaceDE w:val="0"/>
        <w:autoSpaceDN w:val="0"/>
        <w:adjustRightInd w:val="0"/>
        <w:spacing w:before="200"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8553A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2 </w:t>
      </w:r>
      <w:r w:rsidR="00ED3B32">
        <w:rPr>
          <w:rFonts w:ascii="Arial" w:eastAsia="Times New Roman" w:hAnsi="Arial" w:cs="Arial"/>
          <w:b/>
          <w:sz w:val="24"/>
          <w:szCs w:val="24"/>
          <w:lang w:eastAsia="en-US"/>
        </w:rPr>
        <w:t>DO</w:t>
      </w:r>
      <w:r w:rsidR="00ED3B32" w:rsidRPr="008553A7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ERRO DE TIPO</w:t>
      </w:r>
    </w:p>
    <w:p w14:paraId="6239891A" w14:textId="424FB2A9" w:rsidR="007D3008" w:rsidRPr="008553A7" w:rsidRDefault="007D3008" w:rsidP="007D3008">
      <w:pPr>
        <w:widowControl w:val="0"/>
        <w:tabs>
          <w:tab w:val="left" w:pos="9071"/>
        </w:tabs>
        <w:spacing w:before="12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 xml:space="preserve">Observa-se </w:t>
      </w:r>
      <w:r w:rsidRPr="008553A7">
        <w:rPr>
          <w:rFonts w:ascii="Arial" w:eastAsia="Times New Roman" w:hAnsi="Arial" w:cs="Arial"/>
          <w:sz w:val="24"/>
          <w:szCs w:val="24"/>
          <w:lang w:eastAsia="en-US"/>
        </w:rPr>
        <w:t xml:space="preserve">que </w:t>
      </w:r>
      <w:r w:rsidRPr="007D3008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o acusado realmente não sabia da existência nem da quantidade dos entorpecentes encontrados, sendo que apenas aceitou carreg</w:t>
      </w:r>
      <w:r>
        <w:rPr>
          <w:rFonts w:ascii="Arial" w:eastAsia="Times New Roman" w:hAnsi="Arial" w:cs="Arial"/>
          <w:b/>
          <w:bCs/>
          <w:sz w:val="24"/>
          <w:szCs w:val="24"/>
          <w:lang w:eastAsia="en-US"/>
        </w:rPr>
        <w:t>á</w:t>
      </w:r>
      <w:r w:rsidRPr="007D3008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-la por estar precisando de dinheiro</w:t>
      </w:r>
      <w:r w:rsidRPr="008553A7">
        <w:rPr>
          <w:rFonts w:ascii="Arial" w:eastAsia="Times New Roman" w:hAnsi="Arial" w:cs="Arial"/>
          <w:sz w:val="24"/>
          <w:szCs w:val="24"/>
          <w:lang w:eastAsia="en-US"/>
        </w:rPr>
        <w:t>, de forma que ressaltou em seu interrogatório que em momento algum lhe afirmaram que estava a transportar as drogas.</w:t>
      </w:r>
    </w:p>
    <w:p w14:paraId="544D84A8" w14:textId="0685E3D3" w:rsidR="007D3008" w:rsidRPr="008553A7" w:rsidRDefault="007D3008" w:rsidP="007D3008">
      <w:pPr>
        <w:widowControl w:val="0"/>
        <w:tabs>
          <w:tab w:val="left" w:pos="9071"/>
        </w:tabs>
        <w:spacing w:before="120" w:after="12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8553A7">
        <w:rPr>
          <w:rFonts w:ascii="Arial" w:eastAsia="Times New Roman" w:hAnsi="Arial" w:cs="Arial"/>
          <w:sz w:val="24"/>
          <w:szCs w:val="24"/>
          <w:lang w:eastAsia="en-US"/>
        </w:rPr>
        <w:t>Assim, resta evidente que o Réu incorreu em erro de tipo essencial (não sabia tratar-se de entorpecente), visto não ter conhecimento acerca da ilegalidade da sua conduta e, dessa forma, não possuir o dolo necessário para a configuração do crime a ele imputado.</w:t>
      </w:r>
    </w:p>
    <w:p w14:paraId="3CE7158C" w14:textId="77777777" w:rsidR="007D3008" w:rsidRPr="008553A7" w:rsidRDefault="007D3008" w:rsidP="007D3008">
      <w:pPr>
        <w:widowControl w:val="0"/>
        <w:tabs>
          <w:tab w:val="left" w:pos="9071"/>
        </w:tabs>
        <w:spacing w:before="120" w:after="12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8553A7">
        <w:rPr>
          <w:rFonts w:ascii="Arial" w:eastAsia="Times New Roman" w:hAnsi="Arial" w:cs="Arial"/>
          <w:sz w:val="24"/>
          <w:szCs w:val="24"/>
          <w:lang w:eastAsia="en-US"/>
        </w:rPr>
        <w:lastRenderedPageBreak/>
        <w:t>Sobre o assunto, destaca-se o entendimento do doutrinário Cezar Roberto Bitencourt em seu Tratado de Direito Penal</w:t>
      </w:r>
      <w:r w:rsidRPr="008553A7">
        <w:rPr>
          <w:rFonts w:ascii="Arial" w:eastAsia="Times New Roman" w:hAnsi="Arial" w:cs="Arial"/>
          <w:sz w:val="24"/>
          <w:szCs w:val="24"/>
          <w:vertAlign w:val="superscript"/>
          <w:lang w:eastAsia="en-US"/>
        </w:rPr>
        <w:footnoteReference w:id="1"/>
      </w:r>
      <w:r w:rsidRPr="008553A7">
        <w:rPr>
          <w:rFonts w:ascii="Arial" w:eastAsia="Times New Roman" w:hAnsi="Arial" w:cs="Arial"/>
          <w:sz w:val="24"/>
          <w:szCs w:val="24"/>
          <w:lang w:eastAsia="en-US"/>
        </w:rPr>
        <w:t xml:space="preserve"> que alega que o “</w:t>
      </w:r>
      <w:r w:rsidRPr="008553A7">
        <w:rPr>
          <w:rFonts w:ascii="Arial" w:eastAsia="Times New Roman" w:hAnsi="Arial" w:cs="Arial"/>
          <w:b/>
          <w:sz w:val="24"/>
          <w:szCs w:val="24"/>
          <w:lang w:eastAsia="en-US"/>
        </w:rPr>
        <w:t>erro de tipo é o que recai sobre circunstância que constitui elemento essencial do tipo</w:t>
      </w:r>
      <w:r w:rsidRPr="008553A7">
        <w:rPr>
          <w:rFonts w:ascii="Arial" w:eastAsia="Times New Roman" w:hAnsi="Arial" w:cs="Arial"/>
          <w:sz w:val="24"/>
          <w:szCs w:val="24"/>
          <w:lang w:eastAsia="en-US"/>
        </w:rPr>
        <w:t xml:space="preserve">. É a falsa percepção da realidade sobre um elemento do crime. </w:t>
      </w:r>
      <w:r w:rsidRPr="008553A7">
        <w:rPr>
          <w:rFonts w:ascii="Arial" w:eastAsia="Times New Roman" w:hAnsi="Arial" w:cs="Arial"/>
          <w:b/>
          <w:sz w:val="24"/>
          <w:szCs w:val="24"/>
          <w:lang w:eastAsia="en-US"/>
        </w:rPr>
        <w:t>É a ignorância ou a falsa representação de qualquer dos elementos constitutivos do tipo penal</w:t>
      </w:r>
      <w:r w:rsidRPr="008553A7">
        <w:rPr>
          <w:rFonts w:ascii="Arial" w:eastAsia="Times New Roman" w:hAnsi="Arial" w:cs="Arial"/>
          <w:sz w:val="24"/>
          <w:szCs w:val="24"/>
          <w:lang w:eastAsia="en-US"/>
        </w:rPr>
        <w:t>. É indiferente que o objeto do erro se localize no mundo dos fatos, dos conceitos ou das normas jurídicas</w:t>
      </w:r>
      <w:r w:rsidRPr="008553A7">
        <w:rPr>
          <w:rFonts w:ascii="Arial" w:eastAsia="Times New Roman" w:hAnsi="Arial" w:cs="Arial"/>
          <w:b/>
          <w:sz w:val="24"/>
          <w:szCs w:val="24"/>
          <w:lang w:eastAsia="en-US"/>
        </w:rPr>
        <w:t>. Importa, isto sim, que faça parte da estrutura do tipo penal</w:t>
      </w:r>
      <w:r w:rsidRPr="008553A7">
        <w:rPr>
          <w:rFonts w:ascii="Arial" w:eastAsia="Times New Roman" w:hAnsi="Arial" w:cs="Arial"/>
          <w:sz w:val="24"/>
          <w:szCs w:val="24"/>
          <w:lang w:eastAsia="en-US"/>
        </w:rPr>
        <w:t>. Essa modalidade de erro está regulada no caput do art. 20 do nosso Código Penal, onde o legislador refere-se expressamente ao “erro sobre elemento constitutivo do tipo legal”.</w:t>
      </w:r>
    </w:p>
    <w:p w14:paraId="083260A6" w14:textId="77777777" w:rsidR="007D3008" w:rsidRPr="008553A7" w:rsidRDefault="007D3008" w:rsidP="007D3008">
      <w:pPr>
        <w:widowControl w:val="0"/>
        <w:tabs>
          <w:tab w:val="left" w:pos="9071"/>
        </w:tabs>
        <w:spacing w:before="120" w:after="120" w:line="360" w:lineRule="auto"/>
        <w:ind w:right="-1" w:firstLine="709"/>
        <w:jc w:val="both"/>
        <w:rPr>
          <w:rFonts w:ascii="Arial" w:eastAsia="Calibri" w:hAnsi="Arial" w:cs="Arial"/>
          <w:lang w:eastAsia="en-US"/>
        </w:rPr>
      </w:pPr>
      <w:r w:rsidRPr="008553A7">
        <w:rPr>
          <w:rFonts w:ascii="Arial" w:eastAsia="Times New Roman" w:hAnsi="Arial" w:cs="Arial"/>
          <w:sz w:val="24"/>
          <w:szCs w:val="24"/>
          <w:lang w:eastAsia="en-US"/>
        </w:rPr>
        <w:t xml:space="preserve">Nesses termos, importante colacionar os dizeres do </w:t>
      </w:r>
      <w:r w:rsidRPr="008553A7">
        <w:rPr>
          <w:rFonts w:ascii="Arial" w:eastAsia="Times New Roman" w:hAnsi="Arial" w:cs="Arial"/>
          <w:i/>
          <w:sz w:val="24"/>
          <w:szCs w:val="24"/>
          <w:lang w:eastAsia="en-US"/>
        </w:rPr>
        <w:t xml:space="preserve">caput </w:t>
      </w:r>
      <w:r w:rsidRPr="008553A7">
        <w:rPr>
          <w:rFonts w:ascii="Arial" w:eastAsia="Times New Roman" w:hAnsi="Arial" w:cs="Arial"/>
          <w:sz w:val="24"/>
          <w:szCs w:val="24"/>
          <w:lang w:eastAsia="en-US"/>
        </w:rPr>
        <w:t>do</w:t>
      </w:r>
      <w:r w:rsidRPr="008553A7">
        <w:rPr>
          <w:rFonts w:ascii="Arial" w:eastAsia="Times New Roman" w:hAnsi="Arial" w:cs="Arial"/>
          <w:i/>
          <w:sz w:val="24"/>
          <w:szCs w:val="24"/>
          <w:lang w:eastAsia="en-US"/>
        </w:rPr>
        <w:t xml:space="preserve"> </w:t>
      </w:r>
      <w:r w:rsidRPr="008553A7">
        <w:rPr>
          <w:rFonts w:ascii="Arial" w:eastAsia="Times New Roman" w:hAnsi="Arial" w:cs="Arial"/>
          <w:sz w:val="24"/>
          <w:szCs w:val="24"/>
          <w:lang w:eastAsia="en-US"/>
        </w:rPr>
        <w:t>art. 20 do Código Penal:</w:t>
      </w:r>
      <w:r w:rsidRPr="008553A7">
        <w:rPr>
          <w:rFonts w:ascii="Arial" w:eastAsia="Calibri" w:hAnsi="Arial" w:cs="Arial"/>
          <w:lang w:eastAsia="en-US"/>
        </w:rPr>
        <w:t xml:space="preserve"> </w:t>
      </w:r>
    </w:p>
    <w:p w14:paraId="0FB26A0B" w14:textId="77777777" w:rsidR="007D3008" w:rsidRPr="008553A7" w:rsidRDefault="007D3008" w:rsidP="007D3008">
      <w:pPr>
        <w:widowControl w:val="0"/>
        <w:tabs>
          <w:tab w:val="left" w:pos="9071"/>
        </w:tabs>
        <w:spacing w:before="120" w:after="240" w:line="240" w:lineRule="auto"/>
        <w:ind w:left="2268" w:right="-1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8553A7">
        <w:rPr>
          <w:rFonts w:ascii="Arial" w:eastAsia="Times New Roman" w:hAnsi="Arial" w:cs="Arial"/>
          <w:sz w:val="20"/>
          <w:szCs w:val="20"/>
          <w:lang w:eastAsia="en-US"/>
        </w:rPr>
        <w:t>Art. 20: O erro sobre elemento constitutivo do tipo legal de crime exclui o dolo, mas permite a punição por crime culposo, se previsto em lei.</w:t>
      </w:r>
    </w:p>
    <w:p w14:paraId="4A9AE224" w14:textId="77777777" w:rsidR="007D3008" w:rsidRPr="008553A7" w:rsidRDefault="007D3008" w:rsidP="007D3008">
      <w:pPr>
        <w:widowControl w:val="0"/>
        <w:tabs>
          <w:tab w:val="left" w:pos="9071"/>
        </w:tabs>
        <w:spacing w:before="120" w:after="24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8553A7">
        <w:rPr>
          <w:rFonts w:ascii="Arial" w:eastAsia="Times New Roman" w:hAnsi="Arial" w:cs="Arial"/>
          <w:sz w:val="24"/>
          <w:szCs w:val="24"/>
          <w:lang w:eastAsia="en-US"/>
        </w:rPr>
        <w:t xml:space="preserve">No que se refere ao caso que aqui se discute, observa-se que, se o acusado não sabia da existência das drogas, impossível ter a finalidade presente no </w:t>
      </w:r>
      <w:r w:rsidRPr="008553A7">
        <w:rPr>
          <w:rFonts w:ascii="Arial" w:eastAsia="Times New Roman" w:hAnsi="Arial" w:cs="Arial"/>
          <w:i/>
          <w:sz w:val="24"/>
          <w:szCs w:val="24"/>
          <w:lang w:eastAsia="en-US"/>
        </w:rPr>
        <w:t xml:space="preserve">caput </w:t>
      </w:r>
      <w:r w:rsidRPr="008553A7">
        <w:rPr>
          <w:rFonts w:ascii="Arial" w:eastAsia="Times New Roman" w:hAnsi="Arial" w:cs="Arial"/>
          <w:sz w:val="24"/>
          <w:szCs w:val="24"/>
          <w:lang w:eastAsia="en-US"/>
        </w:rPr>
        <w:t>do art. 33 da Lei nº 11.343/06, qual seja, de</w:t>
      </w:r>
      <w:r w:rsidRPr="008553A7">
        <w:rPr>
          <w:rFonts w:ascii="Arial" w:eastAsia="Calibri" w:hAnsi="Arial" w:cs="Arial"/>
          <w:lang w:eastAsia="en-US"/>
        </w:rPr>
        <w:t xml:space="preserve"> </w:t>
      </w:r>
      <w:r w:rsidRPr="008553A7">
        <w:rPr>
          <w:rFonts w:ascii="Arial" w:eastAsia="Times New Roman" w:hAnsi="Arial" w:cs="Arial"/>
          <w:sz w:val="24"/>
          <w:szCs w:val="24"/>
          <w:lang w:eastAsia="en-US"/>
        </w:rPr>
        <w:t>importar, exportar, remeter, preparar, produzir, fabricar, adquirir, vender, expor à venda, oferecer, ter em depósito, transportar, trazer consigo, guardar, prescrever, ministrar, entregar a consumo ou fornecer drogas. Portanto, evidente que sua conduta incorreu em erro quanto ao elemento constitutivo do tipo penal de tráfico de drogas.</w:t>
      </w:r>
    </w:p>
    <w:p w14:paraId="32E2571F" w14:textId="64CB549D" w:rsidR="007D3008" w:rsidRPr="008553A7" w:rsidRDefault="007D3008" w:rsidP="007D3008">
      <w:pPr>
        <w:widowControl w:val="0"/>
        <w:tabs>
          <w:tab w:val="left" w:pos="9071"/>
        </w:tabs>
        <w:spacing w:before="120" w:after="24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8553A7">
        <w:rPr>
          <w:rFonts w:ascii="Arial" w:eastAsia="Times New Roman" w:hAnsi="Arial" w:cs="Arial"/>
          <w:sz w:val="24"/>
          <w:szCs w:val="24"/>
          <w:lang w:eastAsia="en-US"/>
        </w:rPr>
        <w:t xml:space="preserve">Por fim, não há tráfico de drogas culposo, assim, ainda que no caso em tela afirme-se que o erro de tipo era vencível, bastando para sua não ocorrência um cuidado diligente por parte do </w:t>
      </w:r>
      <w:r w:rsidR="00ED3B32">
        <w:rPr>
          <w:rFonts w:ascii="Arial" w:eastAsia="Times New Roman" w:hAnsi="Arial" w:cs="Arial"/>
          <w:sz w:val="24"/>
          <w:szCs w:val="24"/>
          <w:lang w:eastAsia="en-US"/>
        </w:rPr>
        <w:t>r</w:t>
      </w:r>
      <w:r w:rsidRPr="008553A7">
        <w:rPr>
          <w:rFonts w:ascii="Arial" w:eastAsia="Times New Roman" w:hAnsi="Arial" w:cs="Arial"/>
          <w:sz w:val="24"/>
          <w:szCs w:val="24"/>
          <w:lang w:eastAsia="en-US"/>
        </w:rPr>
        <w:t>éu, sua conduta, por si, não configura crime por falta de previsão legal.</w:t>
      </w:r>
    </w:p>
    <w:p w14:paraId="30350426" w14:textId="77777777" w:rsidR="007D3008" w:rsidRPr="008553A7" w:rsidRDefault="007D3008" w:rsidP="007D3008">
      <w:pPr>
        <w:widowControl w:val="0"/>
        <w:tabs>
          <w:tab w:val="left" w:pos="9071"/>
        </w:tabs>
        <w:spacing w:before="12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8553A7">
        <w:rPr>
          <w:rFonts w:ascii="Arial" w:eastAsia="Times New Roman" w:hAnsi="Arial" w:cs="Arial"/>
          <w:sz w:val="24"/>
          <w:szCs w:val="24"/>
          <w:lang w:eastAsia="en-US"/>
        </w:rPr>
        <w:t xml:space="preserve">Pelo exposto, requer-se a </w:t>
      </w:r>
      <w:r w:rsidRPr="008553A7">
        <w:rPr>
          <w:rFonts w:ascii="Arial" w:eastAsia="Times New Roman" w:hAnsi="Arial" w:cs="Arial"/>
          <w:b/>
          <w:sz w:val="24"/>
          <w:szCs w:val="24"/>
          <w:lang w:eastAsia="en-US"/>
        </w:rPr>
        <w:t>ABSOLVIÇÃO</w:t>
      </w:r>
      <w:r w:rsidRPr="008553A7">
        <w:rPr>
          <w:rFonts w:ascii="Arial" w:eastAsia="Times New Roman" w:hAnsi="Arial" w:cs="Arial"/>
          <w:sz w:val="24"/>
          <w:szCs w:val="24"/>
          <w:lang w:eastAsia="en-US"/>
        </w:rPr>
        <w:t xml:space="preserve"> do Réu, nos termos do art. 20, </w:t>
      </w:r>
      <w:r w:rsidRPr="008553A7">
        <w:rPr>
          <w:rFonts w:ascii="Arial" w:eastAsia="Times New Roman" w:hAnsi="Arial" w:cs="Arial"/>
          <w:i/>
          <w:sz w:val="24"/>
          <w:szCs w:val="24"/>
          <w:lang w:eastAsia="en-US"/>
        </w:rPr>
        <w:t>caput,</w:t>
      </w:r>
      <w:r w:rsidRPr="008553A7">
        <w:rPr>
          <w:rFonts w:ascii="Arial" w:eastAsia="Times New Roman" w:hAnsi="Arial" w:cs="Arial"/>
          <w:sz w:val="24"/>
          <w:szCs w:val="24"/>
          <w:lang w:eastAsia="en-US"/>
        </w:rPr>
        <w:t xml:space="preserve"> do Código Penal e do art. 386 do Código de Processo Penal, visto haver restado comprovado que o acusado incorreu em erro de tipo essencial.</w:t>
      </w:r>
    </w:p>
    <w:p w14:paraId="1A978966" w14:textId="77777777" w:rsidR="008553A7" w:rsidRPr="008553A7" w:rsidRDefault="008553A7" w:rsidP="007D3008">
      <w:pPr>
        <w:tabs>
          <w:tab w:val="left" w:pos="9071"/>
        </w:tabs>
        <w:suppressAutoHyphens/>
        <w:spacing w:before="120" w:after="120" w:line="360" w:lineRule="auto"/>
        <w:ind w:right="-1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427ED683" w14:textId="7E28EF79" w:rsidR="008553A7" w:rsidRPr="008553A7" w:rsidRDefault="007D3008" w:rsidP="008553A7">
      <w:pPr>
        <w:tabs>
          <w:tab w:val="left" w:pos="9071"/>
        </w:tabs>
        <w:suppressAutoHyphens/>
        <w:spacing w:before="120" w:after="120" w:line="360" w:lineRule="auto"/>
        <w:ind w:right="-1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lastRenderedPageBreak/>
        <w:t>3</w:t>
      </w:r>
      <w:r w:rsidR="008553A7" w:rsidRPr="008553A7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ED3B32" w:rsidRPr="008553A7">
        <w:rPr>
          <w:rFonts w:ascii="Arial" w:eastAsia="Times New Roman" w:hAnsi="Arial" w:cs="Arial"/>
          <w:b/>
          <w:sz w:val="24"/>
          <w:szCs w:val="24"/>
        </w:rPr>
        <w:t>DA</w:t>
      </w:r>
      <w:r w:rsidR="00ED3B32">
        <w:rPr>
          <w:rFonts w:ascii="Arial" w:eastAsia="Times New Roman" w:hAnsi="Arial" w:cs="Arial"/>
          <w:b/>
          <w:sz w:val="24"/>
          <w:szCs w:val="24"/>
        </w:rPr>
        <w:t xml:space="preserve"> ABSOLVIÇÃO POR</w:t>
      </w:r>
      <w:r w:rsidR="00ED3B32" w:rsidRPr="008553A7">
        <w:rPr>
          <w:rFonts w:ascii="Arial" w:eastAsia="Times New Roman" w:hAnsi="Arial" w:cs="Arial"/>
          <w:b/>
          <w:sz w:val="24"/>
          <w:szCs w:val="24"/>
        </w:rPr>
        <w:t xml:space="preserve"> AUSÊNCIA DE ELEMENTOS PROBATÓRIOS</w:t>
      </w:r>
    </w:p>
    <w:p w14:paraId="16F82BDF" w14:textId="26A58BD2" w:rsidR="008553A7" w:rsidRPr="008553A7" w:rsidRDefault="007D3008" w:rsidP="008553A7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en-US"/>
        </w:rPr>
        <w:t>Caso a tese anterior não seja acatada, destaca-se que</w:t>
      </w:r>
      <w:r w:rsidR="00C04F77">
        <w:rPr>
          <w:rFonts w:ascii="Arial" w:eastAsia="Times New Roman" w:hAnsi="Arial" w:cs="Arial"/>
          <w:sz w:val="24"/>
          <w:szCs w:val="24"/>
          <w:shd w:val="clear" w:color="auto" w:fill="FFFFFF"/>
          <w:lang w:eastAsia="en-US"/>
        </w:rPr>
        <w:t>, em juízo, os</w:t>
      </w:r>
      <w:r w:rsidR="008553A7" w:rsidRPr="008553A7">
        <w:rPr>
          <w:rFonts w:ascii="Arial" w:eastAsia="Times New Roman" w:hAnsi="Arial" w:cs="Arial"/>
          <w:sz w:val="24"/>
          <w:szCs w:val="24"/>
          <w:shd w:val="clear" w:color="auto" w:fill="FFFFFF"/>
          <w:lang w:eastAsia="en-US"/>
        </w:rPr>
        <w:t xml:space="preserve"> policiais foram unísson</w:t>
      </w:r>
      <w:r w:rsidR="00C04F77">
        <w:rPr>
          <w:rFonts w:ascii="Arial" w:eastAsia="Times New Roman" w:hAnsi="Arial" w:cs="Arial"/>
          <w:sz w:val="24"/>
          <w:szCs w:val="24"/>
          <w:shd w:val="clear" w:color="auto" w:fill="FFFFFF"/>
          <w:lang w:eastAsia="en-US"/>
        </w:rPr>
        <w:t>o</w:t>
      </w:r>
      <w:r w:rsidR="008553A7" w:rsidRPr="008553A7">
        <w:rPr>
          <w:rFonts w:ascii="Arial" w:eastAsia="Times New Roman" w:hAnsi="Arial" w:cs="Arial"/>
          <w:sz w:val="24"/>
          <w:szCs w:val="24"/>
          <w:shd w:val="clear" w:color="auto" w:fill="FFFFFF"/>
          <w:lang w:eastAsia="en-US"/>
        </w:rPr>
        <w:t xml:space="preserve">s em afirmar que realizavam patrulhamento rotineiro em virtude do local se tratar de conhecido ponto de tráfico de drogas, razão pela qual suspeitaram do veículo que </w:t>
      </w:r>
      <w:r w:rsidR="008553A7" w:rsidRPr="008553A7">
        <w:rPr>
          <w:rFonts w:ascii="Arial" w:eastAsia="Times New Roman" w:hAnsi="Arial" w:cs="Arial"/>
          <w:sz w:val="24"/>
          <w:szCs w:val="24"/>
          <w:lang w:eastAsia="en-US"/>
        </w:rPr>
        <w:t>supostamente entrou repentinamente em um beco sem saída.</w:t>
      </w:r>
    </w:p>
    <w:p w14:paraId="451E2DB7" w14:textId="0D044FC5" w:rsidR="008553A7" w:rsidRPr="008553A7" w:rsidRDefault="008553A7" w:rsidP="008553A7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en-US"/>
        </w:rPr>
      </w:pPr>
      <w:r w:rsidRPr="008553A7">
        <w:rPr>
          <w:rFonts w:ascii="Arial" w:eastAsia="Times New Roman" w:hAnsi="Arial" w:cs="Arial"/>
          <w:sz w:val="24"/>
          <w:szCs w:val="24"/>
          <w:shd w:val="clear" w:color="auto" w:fill="FFFFFF"/>
          <w:lang w:eastAsia="en-US"/>
        </w:rPr>
        <w:t>Sob esse mesmo contexto, cabe destacar que não foram juntados aos autos qualquer elemento probatório que comprove a finalidade objetiva da prática do tráfico de drogas por parte do acusado, sendo impossível que a conclusão acerca de tal finalidade subsista somente em virtude d</w:t>
      </w:r>
      <w:r w:rsidR="007D3008">
        <w:rPr>
          <w:rFonts w:ascii="Arial" w:eastAsia="Times New Roman" w:hAnsi="Arial" w:cs="Arial"/>
          <w:sz w:val="24"/>
          <w:szCs w:val="24"/>
          <w:shd w:val="clear" w:color="auto" w:fill="FFFFFF"/>
          <w:lang w:eastAsia="en-US"/>
        </w:rPr>
        <w:t>e o</w:t>
      </w:r>
      <w:r w:rsidRPr="008553A7">
        <w:rPr>
          <w:rFonts w:ascii="Arial" w:eastAsia="Times New Roman" w:hAnsi="Arial" w:cs="Arial"/>
          <w:sz w:val="24"/>
          <w:szCs w:val="24"/>
          <w:shd w:val="clear" w:color="auto" w:fill="FFFFFF"/>
          <w:lang w:eastAsia="en-US"/>
        </w:rPr>
        <w:t xml:space="preserve"> réu ter sido abordado em suposto ponto conhecido pela traficância de entorpecentes.</w:t>
      </w:r>
    </w:p>
    <w:p w14:paraId="31CC99C7" w14:textId="77777777" w:rsidR="008553A7" w:rsidRPr="008553A7" w:rsidRDefault="008553A7" w:rsidP="008553A7">
      <w:pPr>
        <w:tabs>
          <w:tab w:val="left" w:pos="9071"/>
        </w:tabs>
        <w:spacing w:before="120" w:after="120" w:line="360" w:lineRule="auto"/>
        <w:ind w:right="-1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8553A7">
        <w:rPr>
          <w:rFonts w:ascii="Arial" w:eastAsia="Calibri" w:hAnsi="Arial" w:cs="Arial"/>
          <w:sz w:val="24"/>
          <w:szCs w:val="24"/>
          <w:lang w:eastAsia="en-US"/>
        </w:rPr>
        <w:t>Importante mencionar, por oportuno, que tal conclusão já foi superada pelo Superior Tribunal de Justiça, conforme julgado assim ementado:</w:t>
      </w:r>
    </w:p>
    <w:p w14:paraId="6400CD78" w14:textId="452BE081" w:rsidR="007D3008" w:rsidRDefault="008553A7" w:rsidP="008553A7">
      <w:pPr>
        <w:tabs>
          <w:tab w:val="left" w:pos="9071"/>
        </w:tabs>
        <w:spacing w:before="120" w:after="120"/>
        <w:ind w:left="2268" w:right="-1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8553A7">
        <w:rPr>
          <w:rFonts w:ascii="Arial" w:eastAsia="Calibri" w:hAnsi="Arial" w:cs="Arial"/>
          <w:sz w:val="20"/>
          <w:szCs w:val="20"/>
          <w:lang w:eastAsia="en-US"/>
        </w:rPr>
        <w:t>TRÁFICO DE DROGAS. DESCLASSIFICAÇÃO. EXCEPCIONALIDADE. AUSÊNCIA DE PROVAS CONCLUSIVAS ACERCA DO NARCOTRÁFICO. AGRAVO REGIMENTAL NÃO PROVIDO.</w:t>
      </w:r>
      <w:r w:rsidR="007D3008">
        <w:rPr>
          <w:rFonts w:ascii="Arial" w:eastAsia="Calibri" w:hAnsi="Arial" w:cs="Arial"/>
          <w:sz w:val="20"/>
          <w:szCs w:val="20"/>
          <w:lang w:eastAsia="en-US"/>
        </w:rPr>
        <w:t xml:space="preserve"> [...]</w:t>
      </w:r>
    </w:p>
    <w:p w14:paraId="7C59C4A7" w14:textId="2FB9DCD1" w:rsidR="007D3008" w:rsidRDefault="007D3008" w:rsidP="008553A7">
      <w:pPr>
        <w:tabs>
          <w:tab w:val="left" w:pos="9071"/>
        </w:tabs>
        <w:spacing w:before="120" w:after="120"/>
        <w:ind w:left="2268" w:right="-1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2. </w:t>
      </w:r>
      <w:r w:rsidR="008553A7" w:rsidRPr="008553A7">
        <w:rPr>
          <w:rFonts w:ascii="Arial" w:eastAsia="Calibri" w:hAnsi="Arial" w:cs="Arial"/>
          <w:b/>
          <w:sz w:val="20"/>
          <w:szCs w:val="20"/>
          <w:lang w:eastAsia="en-US"/>
        </w:rPr>
        <w:t>No caso, embora o réu haja sido preso em flagrante em local conhecido por intenso tráfico de drogas, ele, em nenhum momento, foi pego vendendo, expondo à venda ou oferecendo drogas a terceiros (aliás, nem vendendo, nem comprando drogas); ou seja, ele não foi encontrado, na rua, em situação de traficância. Também não se tratava de averiguação de denúncia robusta e atual acerca da prática de tráfico de drogas pelo recorrente; não houve, ainda, uma investigação anterior que apontasse o réu como traficante</w:t>
      </w:r>
      <w:r w:rsidR="008553A7" w:rsidRPr="008553A7">
        <w:rPr>
          <w:rFonts w:ascii="Arial" w:eastAsia="Calibri" w:hAnsi="Arial" w:cs="Arial"/>
          <w:sz w:val="20"/>
          <w:szCs w:val="20"/>
          <w:lang w:eastAsia="en-US"/>
        </w:rPr>
        <w:t>.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[...]</w:t>
      </w:r>
    </w:p>
    <w:p w14:paraId="18F0925A" w14:textId="5CD7AD0A" w:rsidR="008553A7" w:rsidRPr="007D3008" w:rsidRDefault="008553A7" w:rsidP="008553A7">
      <w:pPr>
        <w:tabs>
          <w:tab w:val="left" w:pos="9071"/>
        </w:tabs>
        <w:spacing w:before="120" w:after="120"/>
        <w:ind w:left="2268" w:right="-1"/>
        <w:jc w:val="both"/>
        <w:rPr>
          <w:rFonts w:ascii="Arial" w:eastAsia="Calibri" w:hAnsi="Arial" w:cs="Arial"/>
          <w:sz w:val="20"/>
          <w:szCs w:val="20"/>
          <w:lang w:val="en-US" w:eastAsia="en-US"/>
        </w:rPr>
      </w:pPr>
      <w:r w:rsidRPr="008553A7">
        <w:rPr>
          <w:rFonts w:ascii="Arial" w:eastAsia="Calibri" w:hAnsi="Arial" w:cs="Arial"/>
          <w:sz w:val="20"/>
          <w:szCs w:val="20"/>
          <w:lang w:eastAsia="en-US"/>
        </w:rPr>
        <w:t xml:space="preserve"> 3. </w:t>
      </w:r>
      <w:r w:rsidRPr="008553A7">
        <w:rPr>
          <w:rFonts w:ascii="Arial" w:eastAsia="Calibri" w:hAnsi="Arial" w:cs="Arial"/>
          <w:b/>
          <w:sz w:val="20"/>
          <w:szCs w:val="20"/>
          <w:lang w:eastAsia="en-US"/>
        </w:rPr>
        <w:t>A conclusão das instâncias de origem (e do próprio Ministério Público Federal) de que o réu seria traficante pelo simples local em que foi preso em flagrante - em bairro conhecido por intenso tráfico de drogas - foi firmada com base apenas em indício de que ele seria traficante de drogas, e não em elementos robustos e conclusivos de que estaria havendo a prática do crime de tráfico.</w:t>
      </w:r>
      <w:r w:rsidRPr="008553A7">
        <w:rPr>
          <w:rFonts w:ascii="Arial" w:eastAsia="Calibri" w:hAnsi="Arial" w:cs="Arial"/>
          <w:sz w:val="20"/>
          <w:szCs w:val="20"/>
          <w:lang w:eastAsia="en-US"/>
        </w:rPr>
        <w:t xml:space="preserve"> Vale dizer, o que se tem dos elementos coligidos aos autos é apenas a intuição acerca de eventual traficância praticada pelo agravado. </w:t>
      </w:r>
      <w:r w:rsidRPr="008553A7">
        <w:rPr>
          <w:rFonts w:ascii="Arial" w:eastAsia="Calibri" w:hAnsi="Arial" w:cs="Arial"/>
          <w:b/>
          <w:sz w:val="20"/>
          <w:szCs w:val="20"/>
          <w:lang w:eastAsia="en-US"/>
        </w:rPr>
        <w:t>Somente aliado a outros meios de prova é que o local da abordagem do réu poderia basear o convencimento do juiz acerca da traficância</w:t>
      </w:r>
      <w:r w:rsidRPr="008553A7">
        <w:rPr>
          <w:rFonts w:ascii="Arial" w:eastAsia="Calibri" w:hAnsi="Arial" w:cs="Arial"/>
          <w:sz w:val="20"/>
          <w:szCs w:val="20"/>
          <w:lang w:eastAsia="en-US"/>
        </w:rPr>
        <w:t xml:space="preserve">. </w:t>
      </w:r>
      <w:r w:rsidRPr="008553A7">
        <w:rPr>
          <w:rFonts w:ascii="Arial" w:eastAsia="Calibri" w:hAnsi="Arial" w:cs="Arial"/>
          <w:b/>
          <w:sz w:val="20"/>
          <w:szCs w:val="20"/>
          <w:lang w:eastAsia="en-US"/>
        </w:rPr>
        <w:t>Não há, pois, como subsistir a conclusão de que houve a prática do crime de tráfico de drogas</w:t>
      </w:r>
      <w:r w:rsidRPr="008553A7">
        <w:rPr>
          <w:rFonts w:ascii="Arial" w:eastAsia="Calibri" w:hAnsi="Arial" w:cs="Arial"/>
          <w:sz w:val="20"/>
          <w:szCs w:val="20"/>
          <w:lang w:eastAsia="en-US"/>
        </w:rPr>
        <w:t>.</w:t>
      </w:r>
      <w:r w:rsidR="007D3008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7D3008">
        <w:rPr>
          <w:rFonts w:ascii="Arial" w:eastAsia="Calibri" w:hAnsi="Arial" w:cs="Arial"/>
          <w:sz w:val="20"/>
          <w:szCs w:val="20"/>
          <w:lang w:val="en-US" w:eastAsia="en-US"/>
        </w:rPr>
        <w:t>(...)</w:t>
      </w:r>
    </w:p>
    <w:p w14:paraId="602B3932" w14:textId="77777777" w:rsidR="008553A7" w:rsidRPr="008553A7" w:rsidRDefault="008553A7" w:rsidP="008553A7">
      <w:pPr>
        <w:tabs>
          <w:tab w:val="left" w:pos="9071"/>
        </w:tabs>
        <w:spacing w:before="240" w:after="120"/>
        <w:ind w:left="2268" w:right="-1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D3008">
        <w:rPr>
          <w:rFonts w:ascii="Arial" w:eastAsia="Calibri" w:hAnsi="Arial" w:cs="Arial"/>
          <w:sz w:val="20"/>
          <w:szCs w:val="20"/>
          <w:lang w:val="en-US" w:eastAsia="en-US"/>
        </w:rPr>
        <w:t xml:space="preserve">(AgRg no AREsp 1636869/AM, Rel. </w:t>
      </w:r>
      <w:r w:rsidRPr="008553A7">
        <w:rPr>
          <w:rFonts w:ascii="Arial" w:eastAsia="Calibri" w:hAnsi="Arial" w:cs="Arial"/>
          <w:sz w:val="20"/>
          <w:szCs w:val="20"/>
          <w:lang w:eastAsia="en-US"/>
        </w:rPr>
        <w:t>Ministro ROGERIO SCHIETTI CRUZ, SEXTA TURMA, julgado em 19/05/2020, DJe 28/05/2020)</w:t>
      </w:r>
    </w:p>
    <w:p w14:paraId="753E1D56" w14:textId="7691DCAC" w:rsidR="008553A7" w:rsidRPr="008553A7" w:rsidRDefault="003A147A" w:rsidP="008553A7">
      <w:pPr>
        <w:tabs>
          <w:tab w:val="left" w:pos="9071"/>
        </w:tabs>
        <w:spacing w:before="240" w:after="120" w:line="360" w:lineRule="auto"/>
        <w:ind w:right="-1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Observa-se</w:t>
      </w:r>
      <w:r w:rsidR="008553A7" w:rsidRPr="008553A7">
        <w:rPr>
          <w:rFonts w:ascii="Arial" w:eastAsia="Calibri" w:hAnsi="Arial" w:cs="Arial"/>
          <w:sz w:val="24"/>
          <w:szCs w:val="24"/>
          <w:lang w:eastAsia="en-US"/>
        </w:rPr>
        <w:t xml:space="preserve"> que as condições do julgado em muito se assemelham ao caso que aqui se discute, já que a acusação acerca de suposta prática de tráfico de drogas se </w:t>
      </w:r>
      <w:r w:rsidR="008553A7" w:rsidRPr="008553A7">
        <w:rPr>
          <w:rFonts w:ascii="Arial" w:eastAsia="Calibri" w:hAnsi="Arial" w:cs="Arial"/>
          <w:sz w:val="24"/>
          <w:szCs w:val="24"/>
          <w:lang w:eastAsia="en-US"/>
        </w:rPr>
        <w:lastRenderedPageBreak/>
        <w:t xml:space="preserve">fundamenta tão somente no fato do réu ter sido abordado em região de conhecido tráfico, ainda que tenha deixado claro em seu interrogatório que não tinha qualquer </w:t>
      </w:r>
      <w:r>
        <w:rPr>
          <w:rFonts w:ascii="Arial" w:eastAsia="Calibri" w:hAnsi="Arial" w:cs="Arial"/>
          <w:sz w:val="24"/>
          <w:szCs w:val="24"/>
          <w:lang w:eastAsia="en-US"/>
        </w:rPr>
        <w:t>envolvimento com o tráfico.</w:t>
      </w:r>
    </w:p>
    <w:p w14:paraId="6AF854D7" w14:textId="77777777" w:rsidR="008553A7" w:rsidRPr="008553A7" w:rsidRDefault="008553A7" w:rsidP="008553A7">
      <w:pPr>
        <w:tabs>
          <w:tab w:val="left" w:pos="9071"/>
        </w:tabs>
        <w:suppressAutoHyphens/>
        <w:spacing w:before="120" w:after="12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</w:rPr>
      </w:pPr>
      <w:r w:rsidRPr="008553A7">
        <w:rPr>
          <w:rFonts w:ascii="Arial" w:eastAsia="Times New Roman" w:hAnsi="Arial" w:cs="Arial"/>
          <w:sz w:val="24"/>
          <w:szCs w:val="24"/>
        </w:rPr>
        <w:t xml:space="preserve">O </w:t>
      </w:r>
      <w:r w:rsidRPr="008553A7">
        <w:rPr>
          <w:rFonts w:ascii="Arial" w:eastAsia="Times New Roman" w:hAnsi="Arial" w:cs="Arial"/>
          <w:i/>
          <w:sz w:val="24"/>
          <w:szCs w:val="24"/>
        </w:rPr>
        <w:t>standard</w:t>
      </w:r>
      <w:r w:rsidRPr="008553A7">
        <w:rPr>
          <w:rFonts w:ascii="Arial" w:eastAsia="Times New Roman" w:hAnsi="Arial" w:cs="Arial"/>
          <w:sz w:val="24"/>
          <w:szCs w:val="24"/>
        </w:rPr>
        <w:t xml:space="preserve"> probatório utilizado pelo acusador é extremamente fraco e se limita tão somente na afirmação de um dos policiais que teria ouvido uma suposta confissão.</w:t>
      </w:r>
    </w:p>
    <w:p w14:paraId="53DBABD3" w14:textId="77777777" w:rsidR="008553A7" w:rsidRPr="008553A7" w:rsidRDefault="008553A7" w:rsidP="008553A7">
      <w:pPr>
        <w:tabs>
          <w:tab w:val="left" w:pos="9071"/>
        </w:tabs>
        <w:suppressAutoHyphens/>
        <w:spacing w:before="120" w:after="12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</w:rPr>
      </w:pPr>
      <w:r w:rsidRPr="008553A7">
        <w:rPr>
          <w:rFonts w:ascii="Arial" w:eastAsia="Times New Roman" w:hAnsi="Arial" w:cs="Arial"/>
          <w:sz w:val="24"/>
          <w:szCs w:val="24"/>
        </w:rPr>
        <w:t xml:space="preserve">Por mais que os policiais tentem descrever uma conduta de tráfico de drogas, versão essa que é chancelada pelo Ministério Público, fato é que não se conseguiu comprovar a prática do crime. Denota-se, que há somente os depoimentos dos policias contrariamente ao réu. </w:t>
      </w:r>
    </w:p>
    <w:p w14:paraId="2D5B90E6" w14:textId="77777777" w:rsidR="008553A7" w:rsidRPr="008553A7" w:rsidRDefault="008553A7" w:rsidP="008553A7">
      <w:pPr>
        <w:tabs>
          <w:tab w:val="left" w:pos="9071"/>
        </w:tabs>
        <w:suppressAutoHyphens/>
        <w:spacing w:before="120" w:after="12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</w:rPr>
      </w:pPr>
      <w:r w:rsidRPr="008553A7">
        <w:rPr>
          <w:rFonts w:ascii="Arial" w:eastAsia="Times New Roman" w:hAnsi="Arial" w:cs="Arial"/>
          <w:sz w:val="24"/>
          <w:szCs w:val="24"/>
        </w:rPr>
        <w:t>Ocorre que o órgão acusador, que tem o ônus da prova, não conseguiu demonstrar a finalidade subjetiva da ação do agente, isto é, não provou que o denunciado teria a intenção de praticar o tráfico com os entorpecentes encontrados. E, como dito, não cabe a inversão do ônus da prova, transmitindo a responsabilidade de demonstrar a inocência para o denunciado.</w:t>
      </w:r>
    </w:p>
    <w:p w14:paraId="2CD299D4" w14:textId="77777777" w:rsidR="008553A7" w:rsidRPr="008553A7" w:rsidRDefault="008553A7" w:rsidP="008553A7">
      <w:pPr>
        <w:tabs>
          <w:tab w:val="left" w:pos="9071"/>
        </w:tabs>
        <w:suppressAutoHyphens/>
        <w:spacing w:before="120" w:after="12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</w:rPr>
      </w:pPr>
      <w:r w:rsidRPr="008553A7">
        <w:rPr>
          <w:rFonts w:ascii="Arial" w:eastAsia="Times New Roman" w:hAnsi="Arial" w:cs="Arial"/>
          <w:sz w:val="24"/>
          <w:szCs w:val="24"/>
        </w:rPr>
        <w:t xml:space="preserve">Se, no momento da instauração do inquérito policial, existia um </w:t>
      </w:r>
      <w:r w:rsidRPr="008553A7">
        <w:rPr>
          <w:rFonts w:ascii="Arial" w:eastAsia="Times New Roman" w:hAnsi="Arial" w:cs="Arial"/>
          <w:i/>
          <w:sz w:val="24"/>
          <w:szCs w:val="24"/>
        </w:rPr>
        <w:t>standard</w:t>
      </w:r>
      <w:r w:rsidRPr="008553A7">
        <w:rPr>
          <w:rFonts w:ascii="Arial" w:eastAsia="Times New Roman" w:hAnsi="Arial" w:cs="Arial"/>
          <w:sz w:val="24"/>
          <w:szCs w:val="24"/>
        </w:rPr>
        <w:t xml:space="preserve"> probatório mínimo que justificasse a autuação, aquele mesmo </w:t>
      </w:r>
      <w:r w:rsidRPr="008553A7">
        <w:rPr>
          <w:rFonts w:ascii="Arial" w:eastAsia="Times New Roman" w:hAnsi="Arial" w:cs="Arial"/>
          <w:i/>
          <w:sz w:val="24"/>
          <w:szCs w:val="24"/>
        </w:rPr>
        <w:t>standard</w:t>
      </w:r>
      <w:r w:rsidRPr="008553A7">
        <w:rPr>
          <w:rFonts w:ascii="Arial" w:eastAsia="Times New Roman" w:hAnsi="Arial" w:cs="Arial"/>
          <w:sz w:val="24"/>
          <w:szCs w:val="24"/>
        </w:rPr>
        <w:t xml:space="preserve"> não pode ser usado em fase pós instrução processual para justificar uma condenação, eis que a sua fragilidade inicial não foi superada. O </w:t>
      </w:r>
      <w:r w:rsidRPr="008553A7">
        <w:rPr>
          <w:rFonts w:ascii="Arial" w:eastAsia="Times New Roman" w:hAnsi="Arial" w:cs="Arial"/>
          <w:i/>
          <w:sz w:val="24"/>
          <w:szCs w:val="24"/>
        </w:rPr>
        <w:t>standard</w:t>
      </w:r>
      <w:r w:rsidRPr="008553A7">
        <w:rPr>
          <w:rFonts w:ascii="Arial" w:eastAsia="Times New Roman" w:hAnsi="Arial" w:cs="Arial"/>
          <w:sz w:val="24"/>
          <w:szCs w:val="24"/>
        </w:rPr>
        <w:t xml:space="preserve"> final é exatamente igual ao inicial, no presente caso em análise. A mera referência a existência de provas suficientes para condenação não garante decisões justificadoras para condenação</w:t>
      </w:r>
      <w:r w:rsidRPr="008553A7">
        <w:rPr>
          <w:rFonts w:ascii="Arial" w:eastAsia="Times New Roman" w:hAnsi="Arial" w:cs="Arial"/>
          <w:sz w:val="24"/>
          <w:szCs w:val="24"/>
          <w:vertAlign w:val="superscript"/>
        </w:rPr>
        <w:footnoteReference w:id="2"/>
      </w:r>
      <w:r w:rsidRPr="008553A7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26641E6D" w14:textId="77777777" w:rsidR="008553A7" w:rsidRPr="008553A7" w:rsidRDefault="008553A7" w:rsidP="008553A7">
      <w:pPr>
        <w:tabs>
          <w:tab w:val="left" w:pos="9071"/>
        </w:tabs>
        <w:suppressAutoHyphens/>
        <w:spacing w:before="120" w:after="12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</w:rPr>
      </w:pPr>
      <w:r w:rsidRPr="008553A7">
        <w:rPr>
          <w:rFonts w:ascii="Arial" w:eastAsia="Times New Roman" w:hAnsi="Arial" w:cs="Arial"/>
          <w:sz w:val="24"/>
          <w:szCs w:val="24"/>
        </w:rPr>
        <w:t xml:space="preserve">Tal argumento se confirma na medida em que se observa que o evento aconteceu em via pública com diversos estabelecimentos comerciais e residenciais ao redor e mesmo assim o </w:t>
      </w:r>
      <w:r w:rsidRPr="008553A7">
        <w:rPr>
          <w:rFonts w:ascii="Arial" w:eastAsia="Times New Roman" w:hAnsi="Arial" w:cs="Arial"/>
          <w:i/>
          <w:sz w:val="24"/>
          <w:szCs w:val="24"/>
        </w:rPr>
        <w:t>parquet</w:t>
      </w:r>
      <w:r w:rsidRPr="008553A7">
        <w:rPr>
          <w:rFonts w:ascii="Arial" w:eastAsia="Times New Roman" w:hAnsi="Arial" w:cs="Arial"/>
          <w:sz w:val="24"/>
          <w:szCs w:val="24"/>
        </w:rPr>
        <w:t xml:space="preserve"> não trouxe aos autos nenhuma filmagem das câmeras de monitoramento dos referidos estabelecimentos para comprovar suas alegações.</w:t>
      </w:r>
    </w:p>
    <w:p w14:paraId="69F00F37" w14:textId="77777777" w:rsidR="008553A7" w:rsidRPr="007D3008" w:rsidRDefault="008553A7" w:rsidP="008553A7">
      <w:pPr>
        <w:tabs>
          <w:tab w:val="left" w:pos="9071"/>
        </w:tabs>
        <w:suppressAutoHyphens/>
        <w:spacing w:before="120" w:after="120" w:line="360" w:lineRule="auto"/>
        <w:ind w:right="-1" w:firstLine="709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D3008">
        <w:rPr>
          <w:rFonts w:ascii="Arial" w:eastAsia="Times New Roman" w:hAnsi="Arial" w:cs="Arial"/>
          <w:bCs/>
          <w:sz w:val="24"/>
          <w:szCs w:val="24"/>
        </w:rPr>
        <w:t xml:space="preserve">Ora, se o órgão acusador possuía os meios hábeis necessários para produzir os elementos probatórios para comprovar a autoria do ato delituoso e mesmo assim </w:t>
      </w:r>
      <w:r w:rsidRPr="007D3008">
        <w:rPr>
          <w:rFonts w:ascii="Arial" w:eastAsia="Times New Roman" w:hAnsi="Arial" w:cs="Arial"/>
          <w:bCs/>
          <w:sz w:val="24"/>
          <w:szCs w:val="24"/>
        </w:rPr>
        <w:lastRenderedPageBreak/>
        <w:t>escolheu não o fazer, o mínimo que se espera é que seja levantada uma razoável dúvida acerca do crime ora imputado ao réu no presente processo.</w:t>
      </w:r>
    </w:p>
    <w:p w14:paraId="3984A618" w14:textId="77777777" w:rsidR="008553A7" w:rsidRPr="008553A7" w:rsidRDefault="008553A7" w:rsidP="008553A7">
      <w:pPr>
        <w:tabs>
          <w:tab w:val="left" w:pos="9071"/>
        </w:tabs>
        <w:suppressAutoHyphens/>
        <w:spacing w:before="120" w:after="120" w:line="360" w:lineRule="auto"/>
        <w:ind w:right="-1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8553A7">
        <w:rPr>
          <w:rFonts w:ascii="Arial" w:eastAsia="Calibri" w:hAnsi="Arial" w:cs="Arial"/>
          <w:sz w:val="24"/>
          <w:szCs w:val="24"/>
          <w:lang w:eastAsia="en-US"/>
        </w:rPr>
        <w:t xml:space="preserve">Nesse contexto, importante mencionar, por fim, que não foram encontrados materiais para embalar a droga, faca, tesoura, anotações ou balanças de precisão, instrumentos tipicamente utilizados na prática do delito de tráfico de entorpecentes a indicar que o acusado era traficante, devendo, em caso de dúvida, ser aplicado o princípio do </w:t>
      </w:r>
      <w:r w:rsidRPr="008553A7">
        <w:rPr>
          <w:rFonts w:ascii="Arial" w:eastAsia="Calibri" w:hAnsi="Arial" w:cs="Arial"/>
          <w:i/>
          <w:sz w:val="24"/>
          <w:szCs w:val="24"/>
          <w:lang w:eastAsia="en-US"/>
        </w:rPr>
        <w:t>in dubio pro reo</w:t>
      </w:r>
      <w:r w:rsidRPr="008553A7">
        <w:rPr>
          <w:rFonts w:ascii="Arial" w:eastAsia="Calibri" w:hAnsi="Arial" w:cs="Arial"/>
          <w:sz w:val="24"/>
          <w:szCs w:val="24"/>
          <w:lang w:eastAsia="en-US"/>
        </w:rPr>
        <w:t>, primados jurídicos de superior relevância, mormente porque extraídos da própria Constituição Federal.</w:t>
      </w:r>
    </w:p>
    <w:p w14:paraId="30E4BCE3" w14:textId="77777777" w:rsidR="008553A7" w:rsidRPr="008553A7" w:rsidRDefault="008553A7" w:rsidP="008553A7">
      <w:pPr>
        <w:tabs>
          <w:tab w:val="left" w:pos="9071"/>
        </w:tabs>
        <w:suppressAutoHyphens/>
        <w:spacing w:before="120" w:after="120" w:line="360" w:lineRule="auto"/>
        <w:ind w:right="-1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8553A7">
        <w:rPr>
          <w:rFonts w:ascii="Arial" w:eastAsia="Calibri" w:hAnsi="Arial" w:cs="Arial"/>
          <w:sz w:val="24"/>
          <w:szCs w:val="24"/>
          <w:lang w:eastAsia="en-US"/>
        </w:rPr>
        <w:t>Tal entendimento já fora abordado pela jurisprudência deste egrégio Tribunal, conforme se depreende:</w:t>
      </w:r>
    </w:p>
    <w:p w14:paraId="4878FF64" w14:textId="324EF53F" w:rsidR="007D3008" w:rsidRDefault="008553A7" w:rsidP="008553A7">
      <w:pPr>
        <w:tabs>
          <w:tab w:val="left" w:pos="9071"/>
        </w:tabs>
        <w:suppressAutoHyphens/>
        <w:spacing w:before="120" w:after="120"/>
        <w:ind w:left="2268" w:right="-1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8553A7">
        <w:rPr>
          <w:rFonts w:ascii="Arial" w:eastAsia="Calibri" w:hAnsi="Arial" w:cs="Arial"/>
          <w:sz w:val="20"/>
          <w:szCs w:val="20"/>
          <w:lang w:eastAsia="en-US"/>
        </w:rPr>
        <w:t>APELAÇAO CRIMINAL. TRÁFICO DE DROGAS. DESCLASSIFICAÇÃO. PORTE PARA USO. DESTINAÇÃO DAS SUBSTÂNCIAS APREENDIDAS. DIFUSÃO ILÍCITA. PROVAS INSUFICIENTES. IN DUBIO PRO REO. RECURSO PROVIDO</w:t>
      </w:r>
      <w:r w:rsidR="007D3008">
        <w:rPr>
          <w:rFonts w:ascii="Arial" w:eastAsia="Calibri" w:hAnsi="Arial" w:cs="Arial"/>
          <w:sz w:val="20"/>
          <w:szCs w:val="20"/>
          <w:lang w:eastAsia="en-US"/>
        </w:rPr>
        <w:t xml:space="preserve"> [...]</w:t>
      </w:r>
    </w:p>
    <w:p w14:paraId="522F25F5" w14:textId="4359009A" w:rsidR="008553A7" w:rsidRPr="008553A7" w:rsidRDefault="008553A7" w:rsidP="008553A7">
      <w:pPr>
        <w:tabs>
          <w:tab w:val="left" w:pos="9071"/>
        </w:tabs>
        <w:suppressAutoHyphens/>
        <w:spacing w:before="120" w:after="120"/>
        <w:ind w:left="2268" w:right="-1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8553A7">
        <w:rPr>
          <w:rFonts w:ascii="Arial" w:eastAsia="Calibri" w:hAnsi="Arial" w:cs="Arial"/>
          <w:sz w:val="20"/>
          <w:szCs w:val="20"/>
          <w:lang w:eastAsia="en-US"/>
        </w:rPr>
        <w:t xml:space="preserve">2. </w:t>
      </w:r>
      <w:r w:rsidRPr="008553A7">
        <w:rPr>
          <w:rFonts w:ascii="Arial" w:eastAsia="Calibri" w:hAnsi="Arial" w:cs="Arial"/>
          <w:b/>
          <w:sz w:val="20"/>
          <w:szCs w:val="20"/>
          <w:lang w:eastAsia="en-US"/>
        </w:rPr>
        <w:t xml:space="preserve">No caso, não há relatos de traficância, a abordagem se deu de forma aleatória, não houve apreensão de quaisquer instrumentos utilizados comumente na traficância de droga, tais como: balança de precisão, invólucros, faca e anotações de vendas de drogas. 3. Considerando a falta de elementos suficientes a demonstrar com a certeza necessária o tráfico de drogas, em atenção ao princípio do </w:t>
      </w:r>
      <w:r w:rsidRPr="008553A7">
        <w:rPr>
          <w:rFonts w:ascii="Arial" w:eastAsia="Calibri" w:hAnsi="Arial" w:cs="Arial"/>
          <w:b/>
          <w:i/>
          <w:sz w:val="20"/>
          <w:szCs w:val="20"/>
          <w:lang w:eastAsia="en-US"/>
        </w:rPr>
        <w:t>in dubio pro reo</w:t>
      </w:r>
      <w:r w:rsidRPr="008553A7">
        <w:rPr>
          <w:rFonts w:ascii="Arial" w:eastAsia="Calibri" w:hAnsi="Arial" w:cs="Arial"/>
          <w:b/>
          <w:sz w:val="20"/>
          <w:szCs w:val="20"/>
          <w:lang w:eastAsia="en-US"/>
        </w:rPr>
        <w:t>, correta a desclassificação da conduta para àquela tipificada no artigo 28 da Lei n. 11.343/06 (posse de droga para uso pessoal).</w:t>
      </w:r>
      <w:r w:rsidRPr="008553A7">
        <w:rPr>
          <w:rFonts w:ascii="Arial" w:eastAsia="Calibri" w:hAnsi="Arial" w:cs="Arial"/>
          <w:sz w:val="20"/>
          <w:szCs w:val="20"/>
          <w:lang w:eastAsia="en-US"/>
        </w:rPr>
        <w:t xml:space="preserve"> 4. Recurso provido. </w:t>
      </w:r>
    </w:p>
    <w:p w14:paraId="75D00B81" w14:textId="1A2352B2" w:rsidR="008553A7" w:rsidRDefault="008553A7" w:rsidP="008553A7">
      <w:pPr>
        <w:tabs>
          <w:tab w:val="left" w:pos="9071"/>
        </w:tabs>
        <w:suppressAutoHyphens/>
        <w:spacing w:before="120" w:after="120"/>
        <w:ind w:left="2268" w:right="-1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8553A7">
        <w:rPr>
          <w:rFonts w:ascii="Arial" w:eastAsia="Calibri" w:hAnsi="Arial" w:cs="Arial"/>
          <w:sz w:val="20"/>
          <w:szCs w:val="20"/>
          <w:lang w:eastAsia="en-US"/>
        </w:rPr>
        <w:t>(TJ-DF 20170110417634 DF 0008972-91.2017.8.07.0001, Relator: SILVAMO BARBOSA DOS SANTOS, Data de Julgamento: 08/11/2018, 2a TURMA CRIMINAL, Data de Publicação: Publicado no DJe: 16/11/2018. Pág: 73/84).</w:t>
      </w:r>
    </w:p>
    <w:p w14:paraId="58284437" w14:textId="77777777" w:rsidR="007D3008" w:rsidRPr="008553A7" w:rsidRDefault="007D3008" w:rsidP="008553A7">
      <w:pPr>
        <w:tabs>
          <w:tab w:val="left" w:pos="9071"/>
        </w:tabs>
        <w:suppressAutoHyphens/>
        <w:spacing w:before="120" w:after="120"/>
        <w:ind w:left="2268" w:right="-1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49565C75" w14:textId="77777777" w:rsidR="008553A7" w:rsidRPr="007D3008" w:rsidRDefault="008553A7" w:rsidP="008553A7">
      <w:pPr>
        <w:tabs>
          <w:tab w:val="left" w:pos="9071"/>
        </w:tabs>
        <w:suppressAutoHyphens/>
        <w:spacing w:before="120" w:after="120" w:line="360" w:lineRule="auto"/>
        <w:ind w:right="-1" w:firstLine="709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D3008">
        <w:rPr>
          <w:rFonts w:ascii="Arial" w:eastAsia="Times New Roman" w:hAnsi="Arial" w:cs="Arial"/>
          <w:bCs/>
          <w:sz w:val="24"/>
          <w:szCs w:val="24"/>
        </w:rPr>
        <w:t xml:space="preserve">A condenação no processo penal exige juízo de certeza, não bastando a ausência de dúvida razoável sobre a existência do fato imputado ao agente ou sobre sua autoria (Min. Carmen Lúcia, no julgamento da AP 470). </w:t>
      </w:r>
    </w:p>
    <w:p w14:paraId="1125D371" w14:textId="54CB9A8F" w:rsidR="008553A7" w:rsidRDefault="008553A7" w:rsidP="008553A7">
      <w:pPr>
        <w:tabs>
          <w:tab w:val="left" w:pos="9071"/>
        </w:tabs>
        <w:suppressAutoHyphens/>
        <w:spacing w:before="120" w:line="360" w:lineRule="auto"/>
        <w:ind w:right="-1"/>
        <w:jc w:val="both"/>
        <w:rPr>
          <w:rFonts w:ascii="Arial" w:eastAsia="Times New Roman" w:hAnsi="Arial" w:cs="Arial"/>
          <w:sz w:val="24"/>
          <w:szCs w:val="24"/>
        </w:rPr>
      </w:pPr>
      <w:r w:rsidRPr="008553A7">
        <w:rPr>
          <w:rFonts w:ascii="Arial" w:eastAsia="Times New Roman" w:hAnsi="Arial" w:cs="Arial"/>
          <w:sz w:val="24"/>
          <w:szCs w:val="24"/>
        </w:rPr>
        <w:t xml:space="preserve">Por tudo o que foi dito, não se pode proferir condenação com base em indícios ou em meras presunções, assim mostra-se necessária </w:t>
      </w:r>
      <w:r w:rsidRPr="008553A7">
        <w:rPr>
          <w:rFonts w:ascii="Arial" w:eastAsia="Times New Roman" w:hAnsi="Arial" w:cs="Arial"/>
          <w:b/>
          <w:sz w:val="24"/>
          <w:szCs w:val="24"/>
        </w:rPr>
        <w:t xml:space="preserve">a ABSOLVIÇÃO </w:t>
      </w:r>
      <w:r w:rsidRPr="008553A7">
        <w:rPr>
          <w:rFonts w:ascii="Arial" w:eastAsia="Times New Roman" w:hAnsi="Arial" w:cs="Arial"/>
          <w:sz w:val="24"/>
          <w:szCs w:val="24"/>
        </w:rPr>
        <w:t xml:space="preserve">do acusado, com base no princípio do </w:t>
      </w:r>
      <w:r w:rsidRPr="008553A7">
        <w:rPr>
          <w:rFonts w:ascii="Arial" w:eastAsia="Times New Roman" w:hAnsi="Arial" w:cs="Arial"/>
          <w:i/>
          <w:sz w:val="24"/>
          <w:szCs w:val="24"/>
        </w:rPr>
        <w:t>in dubio pro reo</w:t>
      </w:r>
      <w:r w:rsidRPr="008553A7">
        <w:rPr>
          <w:rFonts w:ascii="Arial" w:eastAsia="Times New Roman" w:hAnsi="Arial" w:cs="Arial"/>
          <w:sz w:val="24"/>
          <w:szCs w:val="24"/>
        </w:rPr>
        <w:t>, nos termos do art. 386, inciso VII, do CPP.</w:t>
      </w:r>
    </w:p>
    <w:p w14:paraId="21F54554" w14:textId="59717823" w:rsidR="003A147A" w:rsidRDefault="003A147A" w:rsidP="008553A7">
      <w:pPr>
        <w:tabs>
          <w:tab w:val="left" w:pos="9071"/>
        </w:tabs>
        <w:suppressAutoHyphens/>
        <w:spacing w:before="120" w:line="360" w:lineRule="auto"/>
        <w:ind w:right="-1"/>
        <w:jc w:val="both"/>
        <w:rPr>
          <w:rFonts w:ascii="Arial" w:eastAsia="Times New Roman" w:hAnsi="Arial" w:cs="Arial"/>
          <w:sz w:val="24"/>
          <w:szCs w:val="24"/>
        </w:rPr>
      </w:pPr>
    </w:p>
    <w:p w14:paraId="711AC1A3" w14:textId="77777777" w:rsidR="003A147A" w:rsidRPr="008553A7" w:rsidRDefault="003A147A" w:rsidP="008553A7">
      <w:pPr>
        <w:tabs>
          <w:tab w:val="left" w:pos="9071"/>
        </w:tabs>
        <w:suppressAutoHyphens/>
        <w:spacing w:before="120" w:line="360" w:lineRule="auto"/>
        <w:ind w:right="-1"/>
        <w:jc w:val="both"/>
        <w:rPr>
          <w:rFonts w:ascii="Arial" w:eastAsia="Times New Roman" w:hAnsi="Arial" w:cs="Arial"/>
          <w:sz w:val="24"/>
          <w:szCs w:val="24"/>
        </w:rPr>
      </w:pPr>
    </w:p>
    <w:p w14:paraId="7C1022DC" w14:textId="77777777" w:rsidR="008553A7" w:rsidRPr="008553A7" w:rsidRDefault="008553A7" w:rsidP="008553A7">
      <w:pPr>
        <w:spacing w:line="360" w:lineRule="auto"/>
        <w:ind w:right="45"/>
        <w:jc w:val="both"/>
        <w:rPr>
          <w:rFonts w:ascii="Arial" w:eastAsia="Calibri" w:hAnsi="Arial" w:cs="Arial"/>
          <w:lang w:eastAsia="en-US"/>
        </w:rPr>
      </w:pPr>
      <w:r w:rsidRPr="008553A7">
        <w:rPr>
          <w:rFonts w:ascii="Arial" w:eastAsia="Times New Roman" w:hAnsi="Arial" w:cs="Arial"/>
          <w:b/>
          <w:bCs/>
          <w:sz w:val="24"/>
          <w:szCs w:val="24"/>
          <w:lang w:eastAsia="en-US"/>
        </w:rPr>
        <w:lastRenderedPageBreak/>
        <w:t xml:space="preserve">3 DA DOSIMETRIA DA PENA </w:t>
      </w:r>
    </w:p>
    <w:p w14:paraId="121657D2" w14:textId="5D437034" w:rsidR="008553A7" w:rsidRPr="008553A7" w:rsidRDefault="002F0BA5" w:rsidP="008553A7">
      <w:pPr>
        <w:tabs>
          <w:tab w:val="left" w:pos="9071"/>
        </w:tabs>
        <w:spacing w:before="120" w:line="360" w:lineRule="auto"/>
        <w:ind w:right="-1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en-U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US"/>
        </w:rPr>
        <w:t>A título argumentativo, caso se decida</w:t>
      </w:r>
      <w:r w:rsidR="008553A7" w:rsidRPr="008553A7">
        <w:rPr>
          <w:rFonts w:ascii="Arial" w:eastAsia="Times New Roman" w:hAnsi="Arial" w:cs="Arial"/>
          <w:color w:val="000000"/>
          <w:sz w:val="24"/>
          <w:szCs w:val="24"/>
          <w:lang w:eastAsia="en-US"/>
        </w:rPr>
        <w:t xml:space="preserve"> pela condenação do denunciado, faz</w:t>
      </w:r>
      <w:r>
        <w:rPr>
          <w:rFonts w:ascii="Arial" w:eastAsia="Times New Roman" w:hAnsi="Arial" w:cs="Arial"/>
          <w:color w:val="000000"/>
          <w:sz w:val="24"/>
          <w:szCs w:val="24"/>
          <w:lang w:eastAsia="en-US"/>
        </w:rPr>
        <w:t>-se necessário</w:t>
      </w:r>
      <w:r w:rsidR="008553A7" w:rsidRPr="008553A7">
        <w:rPr>
          <w:rFonts w:ascii="Arial" w:eastAsia="Times New Roman" w:hAnsi="Arial" w:cs="Arial"/>
          <w:color w:val="000000"/>
          <w:sz w:val="24"/>
          <w:szCs w:val="24"/>
          <w:lang w:eastAsia="en-US"/>
        </w:rPr>
        <w:t xml:space="preserve"> considerar favoráveis ao </w:t>
      </w:r>
      <w:r>
        <w:rPr>
          <w:rFonts w:ascii="Arial" w:eastAsia="Times New Roman" w:hAnsi="Arial" w:cs="Arial"/>
          <w:color w:val="000000"/>
          <w:sz w:val="24"/>
          <w:szCs w:val="24"/>
          <w:lang w:eastAsia="en-US"/>
        </w:rPr>
        <w:t>r</w:t>
      </w:r>
      <w:r w:rsidR="008553A7" w:rsidRPr="008553A7">
        <w:rPr>
          <w:rFonts w:ascii="Arial" w:eastAsia="Times New Roman" w:hAnsi="Arial" w:cs="Arial"/>
          <w:color w:val="000000"/>
          <w:sz w:val="24"/>
          <w:szCs w:val="24"/>
          <w:lang w:eastAsia="en-US"/>
        </w:rPr>
        <w:t>éu todas as circunstâncias judiciais do art. 59, CP, bem como a especial do art. 42, LAD, fixando-se a pena base no mínimo legal.</w:t>
      </w:r>
    </w:p>
    <w:p w14:paraId="26C6F790" w14:textId="7CFC4ADD" w:rsidR="008553A7" w:rsidRPr="008553A7" w:rsidRDefault="008553A7" w:rsidP="008553A7">
      <w:pPr>
        <w:spacing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en-US"/>
        </w:rPr>
      </w:pPr>
      <w:r w:rsidRPr="008553A7">
        <w:rPr>
          <w:rFonts w:ascii="Arial" w:eastAsia="Times New Roman" w:hAnsi="Arial" w:cs="Arial"/>
          <w:bCs/>
          <w:sz w:val="24"/>
          <w:szCs w:val="24"/>
          <w:lang w:eastAsia="en-US"/>
        </w:rPr>
        <w:t xml:space="preserve">Na segunda fase, requer a </w:t>
      </w:r>
      <w:r w:rsidR="002F0BA5">
        <w:rPr>
          <w:rFonts w:ascii="Arial" w:eastAsia="Times New Roman" w:hAnsi="Arial" w:cs="Arial"/>
          <w:bCs/>
          <w:sz w:val="24"/>
          <w:szCs w:val="24"/>
          <w:lang w:eastAsia="en-US"/>
        </w:rPr>
        <w:t>d</w:t>
      </w:r>
      <w:r w:rsidRPr="008553A7">
        <w:rPr>
          <w:rFonts w:ascii="Arial" w:eastAsia="Times New Roman" w:hAnsi="Arial" w:cs="Arial"/>
          <w:bCs/>
          <w:sz w:val="24"/>
          <w:szCs w:val="24"/>
          <w:lang w:eastAsia="en-US"/>
        </w:rPr>
        <w:t>efesa o reconhecimento da atenuante presente no art. 65, inciso I, do Código Penal, já que era menor de 21 (vinte e um) anos na data do ocorrido.</w:t>
      </w:r>
    </w:p>
    <w:p w14:paraId="3A140FAD" w14:textId="59C97F7B" w:rsidR="008553A7" w:rsidRPr="008553A7" w:rsidRDefault="008553A7" w:rsidP="008553A7">
      <w:pPr>
        <w:spacing w:line="360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lang w:eastAsia="en-US"/>
        </w:rPr>
      </w:pPr>
      <w:r w:rsidRPr="008553A7">
        <w:rPr>
          <w:rFonts w:ascii="Arial" w:eastAsia="Times New Roman" w:hAnsi="Arial" w:cs="Arial"/>
          <w:bCs/>
          <w:sz w:val="24"/>
          <w:szCs w:val="24"/>
          <w:lang w:eastAsia="en-US"/>
        </w:rPr>
        <w:t xml:space="preserve">Na terceira fase da dosimetria, a </w:t>
      </w:r>
      <w:r w:rsidR="002F0BA5">
        <w:rPr>
          <w:rFonts w:ascii="Arial" w:eastAsia="Times New Roman" w:hAnsi="Arial" w:cs="Arial"/>
          <w:bCs/>
          <w:sz w:val="24"/>
          <w:szCs w:val="24"/>
          <w:lang w:eastAsia="en-US"/>
        </w:rPr>
        <w:t>Defensoria Pública</w:t>
      </w:r>
      <w:r w:rsidRPr="008553A7">
        <w:rPr>
          <w:rFonts w:ascii="Arial" w:eastAsia="Times New Roman" w:hAnsi="Arial" w:cs="Arial"/>
          <w:bCs/>
          <w:sz w:val="24"/>
          <w:szCs w:val="24"/>
          <w:lang w:eastAsia="en-US"/>
        </w:rPr>
        <w:t xml:space="preserve"> requer o reconhecimento </w:t>
      </w:r>
      <w:r w:rsidR="002F0BA5">
        <w:rPr>
          <w:rFonts w:ascii="Arial" w:eastAsia="Times New Roman" w:hAnsi="Arial" w:cs="Arial"/>
          <w:bCs/>
          <w:sz w:val="24"/>
          <w:szCs w:val="24"/>
          <w:lang w:eastAsia="en-US"/>
        </w:rPr>
        <w:t xml:space="preserve">da causa de diminuição </w:t>
      </w:r>
      <w:r w:rsidRPr="008553A7">
        <w:rPr>
          <w:rFonts w:ascii="Arial" w:eastAsia="Times New Roman" w:hAnsi="Arial" w:cs="Arial"/>
          <w:bCs/>
          <w:sz w:val="24"/>
          <w:szCs w:val="24"/>
          <w:lang w:eastAsia="en-US"/>
        </w:rPr>
        <w:t xml:space="preserve">do tráfico em benefício de GUILHERME RODRIGUES DOS SANTOS, com a consequente diminuição da pena na fração de 2/3, porque preenche totalmente os requisitos do art. 33, §4º, LAD: </w:t>
      </w:r>
      <w:r w:rsidRPr="008553A7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primariedade</w:t>
      </w:r>
      <w:r w:rsidRPr="008553A7">
        <w:rPr>
          <w:rFonts w:ascii="Arial" w:eastAsia="Times New Roman" w:hAnsi="Arial" w:cs="Arial"/>
          <w:bCs/>
          <w:sz w:val="24"/>
          <w:szCs w:val="24"/>
          <w:lang w:eastAsia="en-US"/>
        </w:rPr>
        <w:t xml:space="preserve">, </w:t>
      </w:r>
      <w:r w:rsidRPr="008553A7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bons antecedentes</w:t>
      </w:r>
      <w:r w:rsidRPr="008553A7">
        <w:rPr>
          <w:rFonts w:ascii="Arial" w:eastAsia="Times New Roman" w:hAnsi="Arial" w:cs="Arial"/>
          <w:bCs/>
          <w:sz w:val="24"/>
          <w:szCs w:val="24"/>
          <w:lang w:eastAsia="en-US"/>
        </w:rPr>
        <w:t xml:space="preserve">, </w:t>
      </w:r>
      <w:r w:rsidRPr="008553A7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não prática atividades criminosas</w:t>
      </w:r>
      <w:r w:rsidRPr="008553A7">
        <w:rPr>
          <w:rFonts w:ascii="Arial" w:eastAsia="Times New Roman" w:hAnsi="Arial" w:cs="Arial"/>
          <w:bCs/>
          <w:sz w:val="24"/>
          <w:szCs w:val="24"/>
          <w:lang w:eastAsia="en-US"/>
        </w:rPr>
        <w:t xml:space="preserve"> e </w:t>
      </w:r>
      <w:r w:rsidRPr="008553A7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não participa de organização criminosa.</w:t>
      </w:r>
    </w:p>
    <w:p w14:paraId="539F04AB" w14:textId="222C7005" w:rsidR="008553A7" w:rsidRPr="008553A7" w:rsidRDefault="008553A7" w:rsidP="008553A7">
      <w:pPr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8553A7">
        <w:rPr>
          <w:rFonts w:ascii="Arial" w:eastAsia="Calibri" w:hAnsi="Arial" w:cs="Arial"/>
          <w:color w:val="000000"/>
          <w:sz w:val="24"/>
          <w:szCs w:val="24"/>
          <w:lang w:eastAsia="en-US"/>
        </w:rPr>
        <w:t>Nesse sentido, convém mencionar que</w:t>
      </w:r>
      <w:r w:rsidR="002F0BA5">
        <w:rPr>
          <w:rFonts w:ascii="Arial" w:eastAsia="Calibri" w:hAnsi="Arial" w:cs="Arial"/>
          <w:color w:val="000000"/>
          <w:sz w:val="24"/>
          <w:szCs w:val="24"/>
          <w:lang w:eastAsia="en-US"/>
        </w:rPr>
        <w:t>,</w:t>
      </w:r>
      <w:r w:rsidRPr="008553A7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embora o Ministério Público alegue que a quantidade das drogas encontradas supostamente possa ser utilizada como justificativa para o não reconhecimento da causa de diminuição de pena constante do art. 33, § 4º, da LAD, </w:t>
      </w:r>
      <w:r w:rsidRPr="008553A7"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  <w:t>é cediço na jurisprudência deste tribunal que existe a necessidade de comprovação que o acusado realmente tenha ligação com organização criminosa ou que se utiliza do crime para sua subsistência, não bastando para tanto somente a alegação acerca da quantidade de entorpecentes por si só</w:t>
      </w:r>
      <w:r w:rsidRPr="008553A7">
        <w:rPr>
          <w:rFonts w:ascii="Arial" w:eastAsia="Calibri" w:hAnsi="Arial" w:cs="Arial"/>
          <w:color w:val="000000"/>
          <w:sz w:val="24"/>
          <w:szCs w:val="24"/>
          <w:lang w:eastAsia="en-US"/>
        </w:rPr>
        <w:t>, visto haver restado comprovado nos autos que o acusado somente estava transportando pontualmente os entorpecentes (frise-se, sem ter conhecimento acerca disso). O réu é, sim: primário e sem qualquer ligação com organizações criminosas, já que nunca fora investigado nem tampouco denunciado pela prática de tráfico drogas anteriormente.</w:t>
      </w:r>
      <w:r w:rsidR="00DA2AA8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</w:t>
      </w:r>
      <w:r w:rsidRPr="008553A7">
        <w:rPr>
          <w:rFonts w:ascii="Arial" w:eastAsia="Calibri" w:hAnsi="Arial" w:cs="Arial"/>
          <w:color w:val="000000"/>
          <w:sz w:val="24"/>
          <w:szCs w:val="24"/>
          <w:lang w:eastAsia="en-US"/>
        </w:rPr>
        <w:t>Esse é, inclusive, o entendimento já pacificado pelo Superior Tribunal de Justiça:</w:t>
      </w:r>
    </w:p>
    <w:p w14:paraId="1682FC6D" w14:textId="1BCDCBBF" w:rsidR="008553A7" w:rsidRDefault="008553A7" w:rsidP="008553A7">
      <w:pPr>
        <w:spacing w:line="240" w:lineRule="auto"/>
        <w:ind w:left="2268"/>
        <w:jc w:val="both"/>
        <w:rPr>
          <w:rFonts w:ascii="Arial" w:eastAsia="Times New Roman" w:hAnsi="Arial" w:cs="Arial"/>
          <w:bCs/>
          <w:sz w:val="20"/>
          <w:szCs w:val="20"/>
          <w:lang w:eastAsia="en-US"/>
        </w:rPr>
      </w:pPr>
      <w:r w:rsidRPr="008553A7">
        <w:rPr>
          <w:rFonts w:ascii="Arial" w:eastAsia="Times New Roman" w:hAnsi="Arial" w:cs="Arial"/>
          <w:bCs/>
          <w:sz w:val="20"/>
          <w:szCs w:val="20"/>
          <w:lang w:eastAsia="en-US"/>
        </w:rPr>
        <w:t xml:space="preserve">AGRAVO REGIMENTAL NO AGRAVO EM RECURSO ESPECIAL. PENAL. TRÁFICO INTERNACIONAL DE DROGAS. DOSIMETRIA. 7,028KG (SETE QUILOS E VINTE E OITO GRAMAS) DE COCAÍNA. "MULA" DO TRÁFICO. PATAMAR DA REDUÇÃO. FRAÇÃO DE 1/6 (UM SEXTO). FUNDAMENTAÇÃO IDÔNEA. AGRAVO REGIMENTAL DESPROVIDO. 1. A Corte regional reconheceu que a Agravante se enquadra na situação fática vulgarmente denominada de "mulas do tráfico", ou seja, pessoas recrutadas por organizações criminosas para o transporte pontual de drogas. Nesse contexto, a jurisprudência desta Corte Superior entende que é adequada a </w:t>
      </w:r>
      <w:r w:rsidRPr="008553A7">
        <w:rPr>
          <w:rFonts w:ascii="Arial" w:eastAsia="Times New Roman" w:hAnsi="Arial" w:cs="Arial"/>
          <w:bCs/>
          <w:sz w:val="20"/>
          <w:szCs w:val="20"/>
          <w:lang w:eastAsia="en-US"/>
        </w:rPr>
        <w:lastRenderedPageBreak/>
        <w:t>aplicação da minorante do tráfico privilegiado em fração inferior a 2/3 (dois terços). Portanto, a fração de 1/6 (um sexto) está justificada. 2. Agravo regimental desprovido. (AgRg no AREsp 1642400/SP, Rel. Ministra LAURITA VAZ, SEXTA TURMA, julgado em 26/05/2020, DJe 02/06/2020)</w:t>
      </w:r>
    </w:p>
    <w:p w14:paraId="410E2917" w14:textId="77777777" w:rsidR="007D3008" w:rsidRPr="008553A7" w:rsidRDefault="007D3008" w:rsidP="008553A7">
      <w:pPr>
        <w:spacing w:line="240" w:lineRule="auto"/>
        <w:ind w:left="2268"/>
        <w:jc w:val="both"/>
        <w:rPr>
          <w:rFonts w:ascii="Arial" w:eastAsia="Times New Roman" w:hAnsi="Arial" w:cs="Arial"/>
          <w:bCs/>
          <w:sz w:val="20"/>
          <w:szCs w:val="20"/>
          <w:lang w:eastAsia="en-US"/>
        </w:rPr>
      </w:pPr>
    </w:p>
    <w:p w14:paraId="3A1A8F14" w14:textId="5E8AD3AC" w:rsidR="008553A7" w:rsidRDefault="008553A7" w:rsidP="008553A7">
      <w:pPr>
        <w:spacing w:line="36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8553A7">
        <w:rPr>
          <w:rFonts w:ascii="Arial" w:eastAsia="Calibri" w:hAnsi="Arial" w:cs="Arial"/>
          <w:sz w:val="24"/>
          <w:szCs w:val="24"/>
          <w:lang w:eastAsia="en-US"/>
        </w:rPr>
        <w:t>Quanto ao regime de cumprimento da pena, seja fixado regime aberto, uma vez que as circunstâncias judiciais do art. 59, CP, assim recomendam, bem como a pena privativa de liberdade deve ser substituída por pena restritiva de direitos.</w:t>
      </w:r>
    </w:p>
    <w:p w14:paraId="3661BC8A" w14:textId="2591B887" w:rsidR="00DA2AA8" w:rsidRPr="008553A7" w:rsidRDefault="002F0BA5" w:rsidP="00DA2AA8">
      <w:pPr>
        <w:spacing w:line="360" w:lineRule="auto"/>
        <w:ind w:right="45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US"/>
        </w:rPr>
        <w:t>4</w:t>
      </w:r>
      <w:r w:rsidR="00DA2AA8" w:rsidRPr="008553A7">
        <w:rPr>
          <w:rFonts w:ascii="Arial" w:eastAsia="Times New Roman" w:hAnsi="Arial" w:cs="Arial"/>
          <w:b/>
          <w:bCs/>
          <w:sz w:val="24"/>
          <w:szCs w:val="24"/>
          <w:lang w:eastAsia="en-US"/>
        </w:rPr>
        <w:t xml:space="preserve"> DA </w:t>
      </w:r>
      <w:r w:rsidR="00DA2AA8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RESTITUIÇÃO DE BENS</w:t>
      </w:r>
    </w:p>
    <w:p w14:paraId="434F0085" w14:textId="3746E462" w:rsidR="00DA2AA8" w:rsidRDefault="007D3008" w:rsidP="002F0BA5">
      <w:pPr>
        <w:spacing w:line="36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Verifica-se que foram apreendidos R$</w:t>
      </w:r>
      <w:r w:rsidR="002F0BA5">
        <w:rPr>
          <w:rFonts w:ascii="Arial" w:eastAsia="Calibri" w:hAnsi="Arial" w:cs="Arial"/>
          <w:sz w:val="24"/>
          <w:szCs w:val="24"/>
          <w:lang w:eastAsia="en-US"/>
        </w:rPr>
        <w:t>XXXX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(</w:t>
      </w:r>
      <w:r w:rsidR="002F0BA5">
        <w:rPr>
          <w:rFonts w:ascii="Arial" w:eastAsia="Calibri" w:hAnsi="Arial" w:cs="Arial"/>
          <w:sz w:val="24"/>
          <w:szCs w:val="24"/>
          <w:lang w:eastAsia="en-US"/>
        </w:rPr>
        <w:t>XXXX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reais) no momento do flagrante.</w:t>
      </w:r>
      <w:r w:rsidR="00DA2AA8">
        <w:rPr>
          <w:rFonts w:ascii="Arial" w:eastAsia="Calibri" w:hAnsi="Arial" w:cs="Arial"/>
          <w:sz w:val="24"/>
          <w:szCs w:val="24"/>
          <w:lang w:eastAsia="en-US"/>
        </w:rPr>
        <w:t xml:space="preserve"> Destaca-se que, de acordo com as declarações prestadas em sede do IP e em seu interrogatório, </w:t>
      </w:r>
      <w:r w:rsidR="002F0BA5">
        <w:rPr>
          <w:rFonts w:ascii="Arial" w:eastAsia="Calibri" w:hAnsi="Arial" w:cs="Arial"/>
          <w:sz w:val="24"/>
          <w:szCs w:val="24"/>
          <w:lang w:eastAsia="en-US"/>
        </w:rPr>
        <w:t>o acusado</w:t>
      </w:r>
      <w:r w:rsidR="00DA2AA8">
        <w:rPr>
          <w:rFonts w:ascii="Arial" w:eastAsia="Calibri" w:hAnsi="Arial" w:cs="Arial"/>
          <w:sz w:val="24"/>
          <w:szCs w:val="24"/>
          <w:lang w:eastAsia="en-US"/>
        </w:rPr>
        <w:t xml:space="preserve"> afirmou que esses valores decorrem </w:t>
      </w:r>
      <w:r w:rsidR="002F0BA5">
        <w:rPr>
          <w:rFonts w:ascii="Arial" w:eastAsia="Calibri" w:hAnsi="Arial" w:cs="Arial"/>
          <w:sz w:val="24"/>
          <w:szCs w:val="24"/>
          <w:lang w:eastAsia="en-US"/>
        </w:rPr>
        <w:t>de seu trabalho lícito</w:t>
      </w:r>
      <w:r w:rsidR="00DA2AA8">
        <w:rPr>
          <w:rFonts w:ascii="Arial" w:eastAsia="Calibri" w:hAnsi="Arial" w:cs="Arial"/>
          <w:sz w:val="24"/>
          <w:szCs w:val="24"/>
          <w:lang w:eastAsia="en-US"/>
        </w:rPr>
        <w:t xml:space="preserve">, situação comprovada pelos documentos de ID </w:t>
      </w:r>
      <w:r w:rsidR="002F0BA5">
        <w:rPr>
          <w:rFonts w:ascii="Arial" w:eastAsia="Calibri" w:hAnsi="Arial" w:cs="Arial"/>
          <w:sz w:val="24"/>
          <w:szCs w:val="24"/>
          <w:lang w:eastAsia="en-US"/>
        </w:rPr>
        <w:t>XXX</w:t>
      </w:r>
      <w:r w:rsidR="00DA2AA8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7EB2A3B6" w14:textId="5AD3268F" w:rsidR="00DA2AA8" w:rsidRPr="008553A7" w:rsidRDefault="00DA2AA8" w:rsidP="008553A7">
      <w:pPr>
        <w:spacing w:line="36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Desse modo, não havendo vinculação da quantia monetária apreendida com alegada traficância</w:t>
      </w:r>
      <w:r w:rsidR="002F0BA5">
        <w:rPr>
          <w:rFonts w:ascii="Arial" w:eastAsia="Calibri" w:hAnsi="Arial" w:cs="Arial"/>
          <w:sz w:val="24"/>
          <w:szCs w:val="24"/>
          <w:lang w:eastAsia="en-US"/>
        </w:rPr>
        <w:t xml:space="preserve"> e comprovada a licitude dos valores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="002F0BA5">
        <w:rPr>
          <w:rFonts w:ascii="Arial" w:eastAsia="Calibri" w:hAnsi="Arial" w:cs="Arial"/>
          <w:sz w:val="24"/>
          <w:szCs w:val="24"/>
          <w:lang w:eastAsia="en-US"/>
        </w:rPr>
        <w:t xml:space="preserve">não há que se falar em perdimento de bens, </w:t>
      </w:r>
      <w:r>
        <w:rPr>
          <w:rFonts w:ascii="Arial" w:eastAsia="Calibri" w:hAnsi="Arial" w:cs="Arial"/>
          <w:sz w:val="24"/>
          <w:szCs w:val="24"/>
          <w:lang w:eastAsia="en-US"/>
        </w:rPr>
        <w:t>deve</w:t>
      </w:r>
      <w:r w:rsidR="002F0BA5">
        <w:rPr>
          <w:rFonts w:ascii="Arial" w:eastAsia="Calibri" w:hAnsi="Arial" w:cs="Arial"/>
          <w:sz w:val="24"/>
          <w:szCs w:val="24"/>
          <w:lang w:eastAsia="en-US"/>
        </w:rPr>
        <w:t>ndo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-se restituir o montante ao </w:t>
      </w:r>
      <w:r w:rsidR="002F0BA5">
        <w:rPr>
          <w:rFonts w:ascii="Arial" w:eastAsia="Calibri" w:hAnsi="Arial" w:cs="Arial"/>
          <w:sz w:val="24"/>
          <w:szCs w:val="24"/>
          <w:lang w:eastAsia="en-US"/>
        </w:rPr>
        <w:t>acusado, nos termos do art. 60, § 6º, da Lei nº 11.343/06</w:t>
      </w:r>
      <w:r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27EFD5EC" w14:textId="77777777" w:rsidR="008553A7" w:rsidRPr="008553A7" w:rsidRDefault="008553A7" w:rsidP="008553A7">
      <w:pPr>
        <w:spacing w:line="36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36EE888A" w14:textId="288FE0EA" w:rsidR="008553A7" w:rsidRPr="008553A7" w:rsidRDefault="008553A7" w:rsidP="008553A7">
      <w:pPr>
        <w:spacing w:line="360" w:lineRule="auto"/>
        <w:jc w:val="both"/>
        <w:rPr>
          <w:rFonts w:ascii="Arial" w:eastAsia="Calibri" w:hAnsi="Arial" w:cs="Arial"/>
          <w:lang w:eastAsia="en-US"/>
        </w:rPr>
      </w:pPr>
      <w:r w:rsidRPr="008553A7">
        <w:rPr>
          <w:rFonts w:ascii="Arial" w:eastAsia="Calibri" w:hAnsi="Arial" w:cs="Arial"/>
          <w:b/>
          <w:iCs/>
          <w:sz w:val="24"/>
          <w:szCs w:val="24"/>
          <w:lang w:eastAsia="en-US"/>
        </w:rPr>
        <w:t xml:space="preserve">4 </w:t>
      </w:r>
      <w:r w:rsidR="00643C13">
        <w:rPr>
          <w:rFonts w:ascii="Arial" w:eastAsia="Calibri" w:hAnsi="Arial" w:cs="Arial"/>
          <w:b/>
          <w:iCs/>
          <w:sz w:val="24"/>
          <w:szCs w:val="24"/>
          <w:lang w:eastAsia="en-US"/>
        </w:rPr>
        <w:t>REQUERIMENTOS</w:t>
      </w:r>
    </w:p>
    <w:p w14:paraId="77F8ECBF" w14:textId="5EFF444C" w:rsidR="008553A7" w:rsidRPr="008553A7" w:rsidRDefault="008553A7" w:rsidP="008553A7">
      <w:pPr>
        <w:widowControl w:val="0"/>
        <w:spacing w:line="360" w:lineRule="auto"/>
        <w:ind w:firstLine="85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8553A7">
        <w:rPr>
          <w:rFonts w:ascii="Arial" w:eastAsia="Calibri" w:hAnsi="Arial" w:cs="Arial"/>
          <w:sz w:val="24"/>
          <w:szCs w:val="24"/>
          <w:lang w:eastAsia="en-US"/>
        </w:rPr>
        <w:t xml:space="preserve">Diante do exposto, a </w:t>
      </w:r>
      <w:r w:rsidR="00643C13">
        <w:rPr>
          <w:rFonts w:ascii="Arial" w:eastAsia="Calibri" w:hAnsi="Arial" w:cs="Arial"/>
          <w:sz w:val="24"/>
          <w:szCs w:val="24"/>
          <w:lang w:eastAsia="en-US"/>
        </w:rPr>
        <w:t>Defensoria Pública</w:t>
      </w:r>
      <w:r w:rsidRPr="008553A7">
        <w:rPr>
          <w:rFonts w:ascii="Arial" w:eastAsia="Calibri" w:hAnsi="Arial" w:cs="Arial"/>
          <w:sz w:val="24"/>
          <w:szCs w:val="24"/>
          <w:lang w:eastAsia="en-US"/>
        </w:rPr>
        <w:t xml:space="preserve"> requer: </w:t>
      </w:r>
    </w:p>
    <w:p w14:paraId="50D3374A" w14:textId="35256E34" w:rsidR="00DA2AA8" w:rsidRPr="008553A7" w:rsidRDefault="00DA2AA8" w:rsidP="00DA2AA8">
      <w:pPr>
        <w:widowControl w:val="0"/>
        <w:numPr>
          <w:ilvl w:val="0"/>
          <w:numId w:val="4"/>
        </w:num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8553A7">
        <w:rPr>
          <w:rFonts w:ascii="Arial" w:eastAsia="Calibri" w:hAnsi="Arial" w:cs="Arial"/>
          <w:sz w:val="24"/>
          <w:szCs w:val="24"/>
          <w:lang w:eastAsia="en-US"/>
        </w:rPr>
        <w:t xml:space="preserve">a absolvição </w:t>
      </w:r>
      <w:r w:rsidR="00643C13">
        <w:rPr>
          <w:rFonts w:ascii="Arial" w:eastAsia="Calibri" w:hAnsi="Arial" w:cs="Arial"/>
          <w:sz w:val="24"/>
          <w:szCs w:val="24"/>
          <w:lang w:eastAsia="en-US"/>
        </w:rPr>
        <w:t xml:space="preserve">do acusado </w:t>
      </w:r>
      <w:r w:rsidRPr="008553A7">
        <w:rPr>
          <w:rFonts w:ascii="Arial" w:eastAsia="Calibri" w:hAnsi="Arial" w:cs="Arial"/>
          <w:sz w:val="24"/>
          <w:szCs w:val="24"/>
          <w:lang w:eastAsia="en-US"/>
        </w:rPr>
        <w:t xml:space="preserve">por erro de tipo, </w:t>
      </w:r>
      <w:r w:rsidR="00D425BD">
        <w:rPr>
          <w:rFonts w:ascii="Arial" w:eastAsia="Calibri" w:hAnsi="Arial" w:cs="Arial"/>
          <w:sz w:val="24"/>
          <w:szCs w:val="24"/>
          <w:lang w:eastAsia="en-US"/>
        </w:rPr>
        <w:t>nos termos do</w:t>
      </w:r>
      <w:r w:rsidRPr="008553A7">
        <w:rPr>
          <w:rFonts w:ascii="Arial" w:eastAsia="Calibri" w:hAnsi="Arial" w:cs="Arial"/>
          <w:sz w:val="24"/>
          <w:szCs w:val="24"/>
          <w:lang w:eastAsia="en-US"/>
        </w:rPr>
        <w:t xml:space="preserve"> art. 20, </w:t>
      </w:r>
      <w:r w:rsidRPr="008553A7">
        <w:rPr>
          <w:rFonts w:ascii="Arial" w:eastAsia="Calibri" w:hAnsi="Arial" w:cs="Arial"/>
          <w:i/>
          <w:sz w:val="24"/>
          <w:szCs w:val="24"/>
          <w:lang w:eastAsia="en-US"/>
        </w:rPr>
        <w:t>caput</w:t>
      </w:r>
      <w:r w:rsidRPr="008553A7">
        <w:rPr>
          <w:rFonts w:ascii="Arial" w:eastAsia="Calibri" w:hAnsi="Arial" w:cs="Arial"/>
          <w:sz w:val="24"/>
          <w:szCs w:val="24"/>
          <w:lang w:eastAsia="en-US"/>
        </w:rPr>
        <w:t>, do Código Penal e do art. 386 do Código de Processo Penal;</w:t>
      </w:r>
    </w:p>
    <w:p w14:paraId="239F5AB1" w14:textId="135BD74E" w:rsidR="008553A7" w:rsidRPr="008553A7" w:rsidRDefault="00DA2AA8" w:rsidP="008553A7">
      <w:pPr>
        <w:widowControl w:val="0"/>
        <w:numPr>
          <w:ilvl w:val="0"/>
          <w:numId w:val="4"/>
        </w:num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subsidiariamente, a</w:t>
      </w:r>
      <w:r w:rsidR="008553A7" w:rsidRPr="008553A7">
        <w:rPr>
          <w:rFonts w:ascii="Arial" w:eastAsia="Calibri" w:hAnsi="Arial" w:cs="Arial"/>
          <w:sz w:val="24"/>
          <w:szCs w:val="24"/>
          <w:lang w:eastAsia="en-US"/>
        </w:rPr>
        <w:t xml:space="preserve"> absolvição </w:t>
      </w:r>
      <w:r w:rsidR="00D425BD">
        <w:rPr>
          <w:rFonts w:ascii="Arial" w:eastAsia="Calibri" w:hAnsi="Arial" w:cs="Arial"/>
          <w:sz w:val="24"/>
          <w:szCs w:val="24"/>
          <w:lang w:eastAsia="en-US"/>
        </w:rPr>
        <w:t xml:space="preserve">do réu </w:t>
      </w:r>
      <w:r w:rsidR="008553A7" w:rsidRPr="008553A7">
        <w:rPr>
          <w:rFonts w:ascii="Arial" w:eastAsia="Calibri" w:hAnsi="Arial" w:cs="Arial"/>
          <w:sz w:val="24"/>
          <w:szCs w:val="24"/>
          <w:lang w:eastAsia="en-US"/>
        </w:rPr>
        <w:t xml:space="preserve">por insuficiência de provas, conforme artigo 386, incs. V e VII, do CPP; </w:t>
      </w:r>
    </w:p>
    <w:p w14:paraId="11F0DA9E" w14:textId="23490AC7" w:rsidR="008553A7" w:rsidRPr="008553A7" w:rsidRDefault="00DA2AA8" w:rsidP="008553A7">
      <w:pPr>
        <w:widowControl w:val="0"/>
        <w:numPr>
          <w:ilvl w:val="0"/>
          <w:numId w:val="4"/>
        </w:num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caso haja condenação, </w:t>
      </w:r>
      <w:r w:rsidR="008553A7" w:rsidRPr="008553A7">
        <w:rPr>
          <w:rFonts w:ascii="Arial" w:eastAsia="Calibri" w:hAnsi="Arial" w:cs="Arial"/>
          <w:sz w:val="24"/>
          <w:szCs w:val="24"/>
          <w:lang w:eastAsia="en-US"/>
        </w:rPr>
        <w:t>a fixação da pena base no mínimo legal para a primeira fase e, na segunda fase,</w:t>
      </w:r>
      <w:r w:rsidR="008553A7" w:rsidRPr="008553A7">
        <w:rPr>
          <w:rFonts w:ascii="Arial" w:eastAsia="Times New Roman" w:hAnsi="Arial" w:cs="Arial"/>
          <w:color w:val="000000"/>
          <w:sz w:val="24"/>
          <w:szCs w:val="24"/>
        </w:rPr>
        <w:t xml:space="preserve"> o reconhecimento da atenuante da menoridade </w:t>
      </w:r>
      <w:r w:rsidR="00D425BD">
        <w:rPr>
          <w:rFonts w:ascii="Arial" w:eastAsia="Times New Roman" w:hAnsi="Arial" w:cs="Arial"/>
          <w:color w:val="000000"/>
          <w:sz w:val="24"/>
          <w:szCs w:val="24"/>
        </w:rPr>
        <w:t>relativa</w:t>
      </w:r>
      <w:r w:rsidR="008553A7" w:rsidRPr="008553A7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14:paraId="5FFFA501" w14:textId="78A3D6A4" w:rsidR="008553A7" w:rsidRPr="008553A7" w:rsidRDefault="00D425BD" w:rsidP="008553A7">
      <w:pPr>
        <w:widowControl w:val="0"/>
        <w:numPr>
          <w:ilvl w:val="0"/>
          <w:numId w:val="4"/>
        </w:num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caso haja condenação, </w:t>
      </w:r>
      <w:r w:rsidR="008553A7" w:rsidRPr="008553A7">
        <w:rPr>
          <w:rFonts w:ascii="Arial" w:eastAsia="Calibri" w:hAnsi="Arial" w:cs="Arial"/>
          <w:sz w:val="24"/>
          <w:szCs w:val="24"/>
          <w:lang w:eastAsia="en-US"/>
        </w:rPr>
        <w:t>o reconhecimento da causa de diminuição prevista no art. 33, §4º, da LAD</w:t>
      </w:r>
      <w:r w:rsidR="00DA2AA8">
        <w:rPr>
          <w:rFonts w:ascii="Arial" w:eastAsia="Calibri" w:hAnsi="Arial" w:cs="Arial"/>
          <w:sz w:val="24"/>
          <w:szCs w:val="24"/>
          <w:lang w:eastAsia="en-US"/>
        </w:rPr>
        <w:t>, com diminuição na fração máxima</w:t>
      </w:r>
      <w:r w:rsidR="008553A7" w:rsidRPr="008553A7">
        <w:rPr>
          <w:rFonts w:ascii="Arial" w:eastAsia="Calibri" w:hAnsi="Arial" w:cs="Arial"/>
          <w:sz w:val="24"/>
          <w:szCs w:val="24"/>
          <w:lang w:eastAsia="en-US"/>
        </w:rPr>
        <w:t>;</w:t>
      </w:r>
    </w:p>
    <w:p w14:paraId="189E584B" w14:textId="20948209" w:rsidR="008553A7" w:rsidRDefault="008553A7" w:rsidP="008553A7">
      <w:pPr>
        <w:numPr>
          <w:ilvl w:val="0"/>
          <w:numId w:val="4"/>
        </w:numPr>
        <w:spacing w:line="36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8553A7">
        <w:rPr>
          <w:rFonts w:ascii="Arial" w:eastAsia="Times New Roman" w:hAnsi="Arial" w:cs="Arial"/>
          <w:sz w:val="24"/>
          <w:szCs w:val="24"/>
        </w:rPr>
        <w:lastRenderedPageBreak/>
        <w:t>a</w:t>
      </w:r>
      <w:r w:rsidR="00D425BD">
        <w:rPr>
          <w:rFonts w:ascii="Arial" w:eastAsia="Times New Roman" w:hAnsi="Arial" w:cs="Arial"/>
          <w:sz w:val="24"/>
          <w:szCs w:val="24"/>
        </w:rPr>
        <w:t xml:space="preserve"> fixação de regime aberto, com</w:t>
      </w:r>
      <w:r w:rsidRPr="008553A7">
        <w:rPr>
          <w:rFonts w:ascii="Arial" w:eastAsia="Times New Roman" w:hAnsi="Arial" w:cs="Arial"/>
          <w:sz w:val="24"/>
          <w:szCs w:val="24"/>
        </w:rPr>
        <w:t xml:space="preserve"> substituição da pena privativa de liberdade por penas restritivas de direitos</w:t>
      </w:r>
      <w:r w:rsidR="00D425BD">
        <w:rPr>
          <w:rFonts w:ascii="Arial" w:eastAsia="Times New Roman" w:hAnsi="Arial" w:cs="Arial"/>
          <w:sz w:val="24"/>
          <w:szCs w:val="24"/>
        </w:rPr>
        <w:t xml:space="preserve"> ou, subsidiariamente,</w:t>
      </w:r>
      <w:r w:rsidR="00DA2AA8">
        <w:rPr>
          <w:rFonts w:ascii="Arial" w:eastAsia="Times New Roman" w:hAnsi="Arial" w:cs="Arial"/>
          <w:sz w:val="24"/>
          <w:szCs w:val="24"/>
        </w:rPr>
        <w:t xml:space="preserve"> a concessão de sursis;</w:t>
      </w:r>
    </w:p>
    <w:p w14:paraId="2FD9B4AB" w14:textId="20989AA2" w:rsidR="00DA2AA8" w:rsidRPr="008553A7" w:rsidRDefault="00DA2AA8" w:rsidP="008553A7">
      <w:pPr>
        <w:numPr>
          <w:ilvl w:val="0"/>
          <w:numId w:val="4"/>
        </w:numPr>
        <w:spacing w:line="36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 restituição dos valores apreendidos indevidamente.</w:t>
      </w:r>
    </w:p>
    <w:p w14:paraId="0DADEB1F" w14:textId="77777777" w:rsidR="008553A7" w:rsidRPr="008553A7" w:rsidRDefault="008553A7" w:rsidP="008553A7">
      <w:pPr>
        <w:spacing w:line="360" w:lineRule="auto"/>
        <w:ind w:left="1429"/>
        <w:contextualSpacing/>
        <w:jc w:val="both"/>
        <w:rPr>
          <w:rFonts w:ascii="Arial" w:eastAsia="Times New Roman" w:hAnsi="Arial" w:cs="Arial"/>
          <w:sz w:val="10"/>
          <w:szCs w:val="10"/>
        </w:rPr>
      </w:pPr>
    </w:p>
    <w:p w14:paraId="27F42B17" w14:textId="77777777" w:rsidR="00D425BD" w:rsidRDefault="008553A7" w:rsidP="008553A7">
      <w:pPr>
        <w:widowControl w:val="0"/>
        <w:tabs>
          <w:tab w:val="left" w:pos="709"/>
        </w:tabs>
        <w:spacing w:line="36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8553A7">
        <w:rPr>
          <w:rFonts w:ascii="Arial" w:eastAsia="Calibri" w:hAnsi="Arial" w:cs="Arial"/>
          <w:sz w:val="24"/>
          <w:szCs w:val="24"/>
          <w:lang w:eastAsia="en-US"/>
        </w:rPr>
        <w:t xml:space="preserve">  </w:t>
      </w:r>
    </w:p>
    <w:p w14:paraId="6421CEBD" w14:textId="733A8B05" w:rsidR="008553A7" w:rsidRPr="008553A7" w:rsidRDefault="008553A7" w:rsidP="008553A7">
      <w:pPr>
        <w:widowControl w:val="0"/>
        <w:tabs>
          <w:tab w:val="left" w:pos="709"/>
        </w:tabs>
        <w:spacing w:line="36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8553A7">
        <w:rPr>
          <w:rFonts w:ascii="Arial" w:eastAsia="Calibri" w:hAnsi="Arial" w:cs="Arial"/>
          <w:sz w:val="24"/>
          <w:szCs w:val="24"/>
          <w:lang w:eastAsia="en-US"/>
        </w:rPr>
        <w:t xml:space="preserve"> Nesses termos, pede deferimento.</w:t>
      </w:r>
    </w:p>
    <w:p w14:paraId="5E6855B3" w14:textId="351F3380" w:rsidR="008553A7" w:rsidRPr="008553A7" w:rsidRDefault="008553A7" w:rsidP="008553A7">
      <w:pPr>
        <w:spacing w:after="0" w:line="360" w:lineRule="auto"/>
        <w:ind w:left="283"/>
        <w:jc w:val="both"/>
        <w:rPr>
          <w:rFonts w:ascii="Arial" w:eastAsia="Times New Roman" w:hAnsi="Arial" w:cs="Arial"/>
          <w:sz w:val="24"/>
          <w:szCs w:val="24"/>
        </w:rPr>
      </w:pPr>
      <w:r w:rsidRPr="008553A7">
        <w:rPr>
          <w:rFonts w:ascii="Arial" w:eastAsia="Times New Roman" w:hAnsi="Arial" w:cs="Arial"/>
          <w:sz w:val="24"/>
          <w:szCs w:val="24"/>
        </w:rPr>
        <w:t xml:space="preserve">                                 Brasília</w:t>
      </w:r>
      <w:r w:rsidR="00DE0515">
        <w:rPr>
          <w:rFonts w:ascii="Arial" w:eastAsia="Times New Roman" w:hAnsi="Arial" w:cs="Arial"/>
          <w:sz w:val="24"/>
          <w:szCs w:val="24"/>
        </w:rPr>
        <w:t>-DF</w:t>
      </w:r>
      <w:r w:rsidRPr="008553A7">
        <w:rPr>
          <w:rFonts w:ascii="Arial" w:eastAsia="Times New Roman" w:hAnsi="Arial" w:cs="Arial"/>
          <w:sz w:val="24"/>
          <w:szCs w:val="24"/>
        </w:rPr>
        <w:t xml:space="preserve">, </w:t>
      </w:r>
      <w:r w:rsidR="00DE0515">
        <w:rPr>
          <w:rFonts w:ascii="Arial" w:eastAsia="Times New Roman" w:hAnsi="Arial" w:cs="Arial"/>
          <w:sz w:val="24"/>
          <w:szCs w:val="24"/>
        </w:rPr>
        <w:t>XX</w:t>
      </w:r>
      <w:r>
        <w:rPr>
          <w:rFonts w:ascii="Arial" w:eastAsia="Times New Roman" w:hAnsi="Arial" w:cs="Arial"/>
          <w:sz w:val="24"/>
          <w:szCs w:val="24"/>
        </w:rPr>
        <w:t xml:space="preserve"> de </w:t>
      </w:r>
      <w:r w:rsidR="00DE0515">
        <w:rPr>
          <w:rFonts w:ascii="Arial" w:eastAsia="Times New Roman" w:hAnsi="Arial" w:cs="Arial"/>
          <w:sz w:val="24"/>
          <w:szCs w:val="24"/>
        </w:rPr>
        <w:t>XXXX</w:t>
      </w:r>
      <w:r w:rsidRPr="008553A7">
        <w:rPr>
          <w:rFonts w:ascii="Arial" w:eastAsia="Times New Roman" w:hAnsi="Arial" w:cs="Arial"/>
          <w:sz w:val="24"/>
          <w:szCs w:val="24"/>
        </w:rPr>
        <w:t xml:space="preserve"> de </w:t>
      </w:r>
      <w:r w:rsidR="00DE0515">
        <w:rPr>
          <w:rFonts w:ascii="Arial" w:eastAsia="Times New Roman" w:hAnsi="Arial" w:cs="Arial"/>
          <w:sz w:val="24"/>
          <w:szCs w:val="24"/>
        </w:rPr>
        <w:t>XXXX</w:t>
      </w:r>
      <w:r w:rsidRPr="008553A7">
        <w:rPr>
          <w:rFonts w:ascii="Arial" w:eastAsia="Times New Roman" w:hAnsi="Arial" w:cs="Arial"/>
          <w:sz w:val="24"/>
          <w:szCs w:val="24"/>
        </w:rPr>
        <w:t>.</w:t>
      </w:r>
    </w:p>
    <w:p w14:paraId="63ACA88A" w14:textId="77777777" w:rsidR="008553A7" w:rsidRPr="008553A7" w:rsidRDefault="008553A7" w:rsidP="008553A7">
      <w:pPr>
        <w:spacing w:after="0" w:line="360" w:lineRule="auto"/>
        <w:ind w:left="283"/>
        <w:jc w:val="both"/>
        <w:rPr>
          <w:rFonts w:ascii="Arial" w:eastAsia="Times New Roman" w:hAnsi="Arial" w:cs="Arial"/>
        </w:rPr>
      </w:pPr>
    </w:p>
    <w:p w14:paraId="71CAAF24" w14:textId="77777777" w:rsidR="008553A7" w:rsidRPr="008553A7" w:rsidRDefault="008553A7" w:rsidP="008553A7">
      <w:pPr>
        <w:spacing w:after="0" w:line="360" w:lineRule="auto"/>
        <w:ind w:left="283"/>
        <w:jc w:val="both"/>
        <w:rPr>
          <w:rFonts w:ascii="Arial" w:eastAsia="Times New Roman" w:hAnsi="Arial" w:cs="Arial"/>
        </w:rPr>
      </w:pPr>
    </w:p>
    <w:p w14:paraId="07ADDF55" w14:textId="77777777" w:rsidR="008553A7" w:rsidRPr="008553A7" w:rsidRDefault="008553A7" w:rsidP="008553A7">
      <w:pPr>
        <w:spacing w:after="0" w:line="360" w:lineRule="auto"/>
        <w:ind w:left="283"/>
        <w:jc w:val="both"/>
        <w:rPr>
          <w:rFonts w:ascii="Arial" w:eastAsia="Times New Roman" w:hAnsi="Arial" w:cs="Arial"/>
          <w:sz w:val="10"/>
          <w:szCs w:val="10"/>
        </w:rPr>
      </w:pPr>
    </w:p>
    <w:p w14:paraId="345D7F0B" w14:textId="1F874AE4" w:rsidR="008553A7" w:rsidRPr="008553A7" w:rsidRDefault="00D425BD" w:rsidP="008553A7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sz w:val="24"/>
          <w:szCs w:val="24"/>
          <w:lang w:eastAsia="en-US"/>
        </w:rPr>
        <w:t>NOME</w:t>
      </w:r>
    </w:p>
    <w:p w14:paraId="32B6C0D4" w14:textId="487794C6" w:rsidR="00EC42D9" w:rsidRPr="00DA2AA8" w:rsidRDefault="008553A7" w:rsidP="00DE0515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i/>
          <w:iCs/>
          <w:sz w:val="24"/>
          <w:szCs w:val="24"/>
          <w:lang w:eastAsia="en-US"/>
        </w:rPr>
      </w:pPr>
      <w:r w:rsidRPr="008553A7">
        <w:rPr>
          <w:rFonts w:ascii="Arial" w:eastAsia="Calibri" w:hAnsi="Arial" w:cs="Arial"/>
          <w:i/>
          <w:iCs/>
          <w:sz w:val="24"/>
          <w:szCs w:val="24"/>
          <w:lang w:eastAsia="en-US"/>
        </w:rPr>
        <w:t>Defensor</w:t>
      </w:r>
      <w:r w:rsidR="00DE0515">
        <w:rPr>
          <w:rFonts w:ascii="Arial" w:eastAsia="Calibri" w:hAnsi="Arial" w:cs="Arial"/>
          <w:i/>
          <w:iCs/>
          <w:sz w:val="24"/>
          <w:szCs w:val="24"/>
          <w:lang w:eastAsia="en-US"/>
        </w:rPr>
        <w:t>(a)</w:t>
      </w:r>
      <w:r w:rsidRPr="008553A7">
        <w:rPr>
          <w:rFonts w:ascii="Arial" w:eastAsia="Calibri" w:hAnsi="Arial" w:cs="Arial"/>
          <w:i/>
          <w:iCs/>
          <w:sz w:val="24"/>
          <w:szCs w:val="24"/>
          <w:lang w:eastAsia="en-US"/>
        </w:rPr>
        <w:t xml:space="preserve"> Público</w:t>
      </w:r>
      <w:r w:rsidR="00DE0515">
        <w:rPr>
          <w:rFonts w:ascii="Arial" w:eastAsia="Calibri" w:hAnsi="Arial" w:cs="Arial"/>
          <w:i/>
          <w:iCs/>
          <w:sz w:val="24"/>
          <w:szCs w:val="24"/>
          <w:lang w:eastAsia="en-US"/>
        </w:rPr>
        <w:t>(a)</w:t>
      </w:r>
      <w:r w:rsidRPr="008553A7">
        <w:rPr>
          <w:rFonts w:ascii="Arial" w:eastAsia="Calibri" w:hAnsi="Arial" w:cs="Arial"/>
          <w:i/>
          <w:iCs/>
          <w:sz w:val="24"/>
          <w:szCs w:val="24"/>
          <w:lang w:eastAsia="en-US"/>
        </w:rPr>
        <w:t xml:space="preserve"> do Distrito Federal</w:t>
      </w:r>
    </w:p>
    <w:sectPr w:rsidR="00EC42D9" w:rsidRPr="00DA2AA8" w:rsidSect="00EC42D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418" w:bottom="1418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0A71C" w14:textId="77777777" w:rsidR="00F52ACC" w:rsidRDefault="00F52ACC">
      <w:pPr>
        <w:spacing w:after="0" w:line="240" w:lineRule="auto"/>
      </w:pPr>
      <w:r>
        <w:separator/>
      </w:r>
    </w:p>
  </w:endnote>
  <w:endnote w:type="continuationSeparator" w:id="0">
    <w:p w14:paraId="0395A7F8" w14:textId="77777777" w:rsidR="00F52ACC" w:rsidRDefault="00F52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553A8" w14:textId="77777777" w:rsidR="00EC42D9" w:rsidRDefault="00EC42D9" w:rsidP="00EC42D9">
    <w:pPr>
      <w:pStyle w:val="Rodap"/>
      <w:ind w:left="-1418"/>
    </w:pPr>
    <w:r>
      <w:rPr>
        <w:noProof/>
      </w:rPr>
      <w:drawing>
        <wp:inline distT="0" distB="0" distL="0" distR="0" wp14:anchorId="21329BB7" wp14:editId="2D8C897B">
          <wp:extent cx="7569642" cy="577193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402" cy="609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C091D" w14:textId="77777777" w:rsidR="00F52ACC" w:rsidRDefault="00F52ACC">
      <w:pPr>
        <w:spacing w:after="0" w:line="240" w:lineRule="auto"/>
      </w:pPr>
      <w:r>
        <w:separator/>
      </w:r>
    </w:p>
  </w:footnote>
  <w:footnote w:type="continuationSeparator" w:id="0">
    <w:p w14:paraId="36A409EE" w14:textId="77777777" w:rsidR="00F52ACC" w:rsidRDefault="00F52ACC">
      <w:pPr>
        <w:spacing w:after="0" w:line="240" w:lineRule="auto"/>
      </w:pPr>
      <w:r>
        <w:continuationSeparator/>
      </w:r>
    </w:p>
  </w:footnote>
  <w:footnote w:id="1">
    <w:p w14:paraId="289A0B53" w14:textId="77777777" w:rsidR="007D3008" w:rsidRPr="00ED3B32" w:rsidRDefault="007D3008" w:rsidP="007D3008">
      <w:pPr>
        <w:pStyle w:val="Textodenotaderodap"/>
        <w:rPr>
          <w:rFonts w:ascii="Arial" w:hAnsi="Arial" w:cs="Arial"/>
        </w:rPr>
      </w:pPr>
      <w:r w:rsidRPr="00ED3B32">
        <w:rPr>
          <w:rStyle w:val="Refdenotaderodap"/>
          <w:rFonts w:ascii="Arial" w:hAnsi="Arial" w:cs="Arial"/>
        </w:rPr>
        <w:footnoteRef/>
      </w:r>
      <w:r w:rsidRPr="00ED3B32">
        <w:rPr>
          <w:rFonts w:ascii="Arial" w:hAnsi="Arial" w:cs="Arial"/>
        </w:rPr>
        <w:t xml:space="preserve"> </w:t>
      </w:r>
      <w:r w:rsidRPr="00ED3B32">
        <w:rPr>
          <w:rFonts w:ascii="Arial" w:hAnsi="Arial" w:cs="Arial"/>
          <w:sz w:val="22"/>
          <w:szCs w:val="22"/>
        </w:rPr>
        <w:t>BITENCOURT, Cezar Roberto. Tratado de Direito Penal 1 Parte Geral. Saraiva Educação SA, 2018.</w:t>
      </w:r>
    </w:p>
  </w:footnote>
  <w:footnote w:id="2">
    <w:p w14:paraId="27E73EC5" w14:textId="77777777" w:rsidR="008553A7" w:rsidRPr="00467E07" w:rsidRDefault="008553A7" w:rsidP="008553A7">
      <w:pPr>
        <w:pStyle w:val="Textodenotaderodap"/>
        <w:jc w:val="both"/>
        <w:rPr>
          <w:rFonts w:ascii="Times New Roman" w:hAnsi="Times New Roman" w:cs="Times New Roman"/>
        </w:rPr>
      </w:pPr>
      <w:r w:rsidRPr="00467E07">
        <w:rPr>
          <w:rStyle w:val="Refdenotaderodap"/>
          <w:rFonts w:ascii="Times New Roman" w:hAnsi="Times New Roman" w:cs="Times New Roman"/>
        </w:rPr>
        <w:footnoteRef/>
      </w:r>
      <w:r w:rsidRPr="00467E07">
        <w:rPr>
          <w:rFonts w:ascii="Times New Roman" w:hAnsi="Times New Roman" w:cs="Times New Roman"/>
        </w:rPr>
        <w:t xml:space="preserve"> MATIDA, Janaina. </w:t>
      </w:r>
      <w:r w:rsidRPr="00467E07">
        <w:rPr>
          <w:rFonts w:ascii="Times New Roman" w:hAnsi="Times New Roman" w:cs="Times New Roman"/>
          <w:i/>
        </w:rPr>
        <w:t>Standards de prova: a modéstia necessária a juízes na decisão sobre os fatos</w:t>
      </w:r>
      <w:r w:rsidRPr="00467E07">
        <w:rPr>
          <w:rFonts w:ascii="Times New Roman" w:hAnsi="Times New Roman" w:cs="Times New Roman"/>
        </w:rPr>
        <w:t xml:space="preserve">. In: CALDAS, Diana Furtado; ANDRADE, Gabriela Lima; RIOS, Lucas P. Carapiá (Org.). </w:t>
      </w:r>
      <w:r w:rsidRPr="00467E07">
        <w:rPr>
          <w:rStyle w:val="nfase"/>
          <w:rFonts w:ascii="Times New Roman" w:hAnsi="Times New Roman" w:cs="Times New Roman"/>
        </w:rPr>
        <w:t>Arquivos da Resistência: ensaios e anais do VII Seminário Nacional do IBADPP 2018</w:t>
      </w:r>
      <w:r w:rsidRPr="00467E07">
        <w:rPr>
          <w:rFonts w:ascii="Times New Roman" w:hAnsi="Times New Roman" w:cs="Times New Roman"/>
        </w:rPr>
        <w:t>. Florianópolis: Tirant lo Blanch, 2019, p. 96.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ADA1D" w14:textId="77777777" w:rsidR="00EC42D9" w:rsidRDefault="00000000">
    <w:pPr>
      <w:pStyle w:val="Cabealho"/>
    </w:pPr>
    <w:r>
      <w:rPr>
        <w:noProof/>
      </w:rPr>
      <w:pict w14:anchorId="1D9308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7" o:spid="_x0000_s1030" type="#_x0000_t75" style="position:absolute;margin-left:0;margin-top:0;width:596.4pt;height:820.5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2CBD93A0">
        <v:shape id="WordPictureWatermark14862060" o:spid="_x0000_s1029" type="#_x0000_t75" style="position:absolute;margin-left:0;margin-top:0;width:595.9pt;height:821.05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7FD523E2">
        <v:shape id="WordPictureWatermark14818255" o:spid="_x0000_s1028" type="#_x0000_t75" style="position:absolute;margin-left:0;margin-top:0;width:595.9pt;height:821.0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B8ACD" w14:textId="77777777" w:rsidR="00EC42D9" w:rsidRDefault="00EC42D9" w:rsidP="00EC42D9">
    <w:pPr>
      <w:pStyle w:val="Cabealho"/>
      <w:ind w:left="-851"/>
      <w:jc w:val="center"/>
    </w:pPr>
    <w:r>
      <w:rPr>
        <w:noProof/>
      </w:rPr>
      <w:drawing>
        <wp:inline distT="0" distB="0" distL="0" distR="0" wp14:anchorId="2ECE8F3C" wp14:editId="4559CDA2">
          <wp:extent cx="6353175" cy="98044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971" cy="99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88D3DC" w14:textId="77777777" w:rsidR="00EC42D9" w:rsidRDefault="00EC42D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DE25B" w14:textId="77777777" w:rsidR="00EC42D9" w:rsidRDefault="00000000">
    <w:pPr>
      <w:pStyle w:val="Cabealho"/>
    </w:pPr>
    <w:r>
      <w:rPr>
        <w:noProof/>
      </w:rPr>
      <w:pict w14:anchorId="03831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6" o:spid="_x0000_s1027" type="#_x0000_t75" style="position:absolute;margin-left:0;margin-top:0;width:596.4pt;height:820.5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562BF988">
        <v:shape id="WordPictureWatermark14862059" o:spid="_x0000_s1026" type="#_x0000_t75" style="position:absolute;margin-left:0;margin-top:0;width:595.9pt;height:821.0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7010B629">
        <v:shape id="WordPictureWatermark14818254" o:spid="_x0000_s1025" type="#_x0000_t75" style="position:absolute;margin-left:0;margin-top:0;width:595.9pt;height:821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C171C"/>
    <w:multiLevelType w:val="multilevel"/>
    <w:tmpl w:val="A15E0DF0"/>
    <w:lvl w:ilvl="0">
      <w:start w:val="1"/>
      <w:numFmt w:val="lowerLetter"/>
      <w:lvlText w:val="%1)"/>
      <w:lvlJc w:val="left"/>
      <w:pPr>
        <w:tabs>
          <w:tab w:val="num" w:pos="360"/>
        </w:tabs>
        <w:ind w:left="1429" w:hanging="360"/>
      </w:pPr>
      <w:rPr>
        <w:rFonts w:ascii="Arial" w:hAnsi="Arial" w:cs="Arial" w:hint="default"/>
        <w:b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7189" w:hanging="180"/>
      </w:pPr>
    </w:lvl>
  </w:abstractNum>
  <w:abstractNum w:abstractNumId="1" w15:restartNumberingAfterBreak="0">
    <w:nsid w:val="6B0C7A32"/>
    <w:multiLevelType w:val="hybridMultilevel"/>
    <w:tmpl w:val="F1701C6A"/>
    <w:lvl w:ilvl="0" w:tplc="950EB45E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 w15:restartNumberingAfterBreak="0">
    <w:nsid w:val="6D291038"/>
    <w:multiLevelType w:val="hybridMultilevel"/>
    <w:tmpl w:val="A182A4D0"/>
    <w:lvl w:ilvl="0" w:tplc="0416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07A52D3"/>
    <w:multiLevelType w:val="hybridMultilevel"/>
    <w:tmpl w:val="EC1442AA"/>
    <w:lvl w:ilvl="0" w:tplc="78724C6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964853274">
    <w:abstractNumId w:val="1"/>
  </w:num>
  <w:num w:numId="2" w16cid:durableId="1679118369">
    <w:abstractNumId w:val="3"/>
  </w:num>
  <w:num w:numId="3" w16cid:durableId="56368910">
    <w:abstractNumId w:val="2"/>
  </w:num>
  <w:num w:numId="4" w16cid:durableId="957446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251"/>
    <w:rsid w:val="00025B11"/>
    <w:rsid w:val="00062488"/>
    <w:rsid w:val="00064EF6"/>
    <w:rsid w:val="0007115F"/>
    <w:rsid w:val="000A138F"/>
    <w:rsid w:val="000A4DD1"/>
    <w:rsid w:val="0012164E"/>
    <w:rsid w:val="0014643F"/>
    <w:rsid w:val="00156E3E"/>
    <w:rsid w:val="0016045C"/>
    <w:rsid w:val="001B48F7"/>
    <w:rsid w:val="001D637E"/>
    <w:rsid w:val="001E1C90"/>
    <w:rsid w:val="002313E6"/>
    <w:rsid w:val="0023462B"/>
    <w:rsid w:val="00255C0A"/>
    <w:rsid w:val="00267E4B"/>
    <w:rsid w:val="002B4654"/>
    <w:rsid w:val="002C2D3B"/>
    <w:rsid w:val="002D02B4"/>
    <w:rsid w:val="002F0BA5"/>
    <w:rsid w:val="00305ECF"/>
    <w:rsid w:val="003371A3"/>
    <w:rsid w:val="00342F00"/>
    <w:rsid w:val="0039591B"/>
    <w:rsid w:val="003A147A"/>
    <w:rsid w:val="003A5667"/>
    <w:rsid w:val="003B2E07"/>
    <w:rsid w:val="003D5DCC"/>
    <w:rsid w:val="004310F1"/>
    <w:rsid w:val="00474A07"/>
    <w:rsid w:val="00563D6F"/>
    <w:rsid w:val="00601DB4"/>
    <w:rsid w:val="00606858"/>
    <w:rsid w:val="0063566E"/>
    <w:rsid w:val="006366DA"/>
    <w:rsid w:val="00637369"/>
    <w:rsid w:val="00643C13"/>
    <w:rsid w:val="00666C79"/>
    <w:rsid w:val="00682211"/>
    <w:rsid w:val="00750E37"/>
    <w:rsid w:val="007D3008"/>
    <w:rsid w:val="007D3750"/>
    <w:rsid w:val="008209E8"/>
    <w:rsid w:val="008553A7"/>
    <w:rsid w:val="0086713B"/>
    <w:rsid w:val="008F2C85"/>
    <w:rsid w:val="008F2D94"/>
    <w:rsid w:val="008F347E"/>
    <w:rsid w:val="00931149"/>
    <w:rsid w:val="009D6C46"/>
    <w:rsid w:val="00A02251"/>
    <w:rsid w:val="00A1769A"/>
    <w:rsid w:val="00A306E7"/>
    <w:rsid w:val="00A312F7"/>
    <w:rsid w:val="00AB1405"/>
    <w:rsid w:val="00AB7D5D"/>
    <w:rsid w:val="00AD08B3"/>
    <w:rsid w:val="00AD4351"/>
    <w:rsid w:val="00AF50D1"/>
    <w:rsid w:val="00B57B5E"/>
    <w:rsid w:val="00BD7CC6"/>
    <w:rsid w:val="00BE19FA"/>
    <w:rsid w:val="00BE3A93"/>
    <w:rsid w:val="00BF6CA3"/>
    <w:rsid w:val="00C04F77"/>
    <w:rsid w:val="00C4247F"/>
    <w:rsid w:val="00C43357"/>
    <w:rsid w:val="00C9383E"/>
    <w:rsid w:val="00CC465B"/>
    <w:rsid w:val="00D15F74"/>
    <w:rsid w:val="00D425BD"/>
    <w:rsid w:val="00D53EC0"/>
    <w:rsid w:val="00D668E2"/>
    <w:rsid w:val="00D83E72"/>
    <w:rsid w:val="00D86D12"/>
    <w:rsid w:val="00D9481A"/>
    <w:rsid w:val="00DA2AA8"/>
    <w:rsid w:val="00DC2F62"/>
    <w:rsid w:val="00DD1678"/>
    <w:rsid w:val="00DE0515"/>
    <w:rsid w:val="00E1132D"/>
    <w:rsid w:val="00E36ECD"/>
    <w:rsid w:val="00E4280B"/>
    <w:rsid w:val="00E75FB3"/>
    <w:rsid w:val="00EC42D9"/>
    <w:rsid w:val="00ED3B32"/>
    <w:rsid w:val="00F52ACC"/>
    <w:rsid w:val="00F860A6"/>
    <w:rsid w:val="00FA00F9"/>
    <w:rsid w:val="00FC39BF"/>
    <w:rsid w:val="00FD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91EC6"/>
  <w14:defaultImageDpi w14:val="32767"/>
  <w15:chartTrackingRefBased/>
  <w15:docId w15:val="{8DEF16D7-F28F-E645-BFDC-90964A20E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251"/>
    <w:pPr>
      <w:spacing w:after="200" w:line="276" w:lineRule="auto"/>
    </w:pPr>
    <w:rPr>
      <w:rFonts w:eastAsiaTheme="minorEastAsia"/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02251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A02251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6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02251"/>
    <w:rPr>
      <w:rFonts w:ascii="Calibri" w:eastAsia="Times New Roman" w:hAnsi="Calibri" w:cs="Times New Roman"/>
      <w:b/>
      <w:sz w:val="2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rsid w:val="00A02251"/>
    <w:rPr>
      <w:rFonts w:ascii="Times New Roman" w:eastAsia="Times New Roman" w:hAnsi="Times New Roman" w:cs="Times New Roman"/>
      <w:sz w:val="36"/>
      <w:lang w:val="x-none"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A02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02251"/>
    <w:rPr>
      <w:rFonts w:eastAsiaTheme="minorEastAsia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02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2251"/>
    <w:rPr>
      <w:rFonts w:eastAsiaTheme="minorEastAsia"/>
      <w:sz w:val="22"/>
      <w:szCs w:val="22"/>
      <w:lang w:eastAsia="pt-BR"/>
    </w:rPr>
  </w:style>
  <w:style w:type="paragraph" w:styleId="Corpodetexto2">
    <w:name w:val="Body Text 2"/>
    <w:basedOn w:val="Normal"/>
    <w:link w:val="Corpodetexto2Char"/>
    <w:rsid w:val="00A02251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A02251"/>
    <w:rPr>
      <w:rFonts w:ascii="Times New Roman" w:eastAsia="Times New Roman" w:hAnsi="Times New Roman" w:cs="Times New Roman"/>
      <w:i/>
      <w:iCs/>
      <w:sz w:val="36"/>
      <w:lang w:val="x-none" w:eastAsia="pt-BR"/>
    </w:rPr>
  </w:style>
  <w:style w:type="paragraph" w:styleId="Corpodetexto3">
    <w:name w:val="Body Text 3"/>
    <w:basedOn w:val="Normal"/>
    <w:link w:val="Corpodetexto3Char"/>
    <w:rsid w:val="00A0225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A02251"/>
    <w:rPr>
      <w:rFonts w:ascii="Times New Roman" w:eastAsia="Times New Roman" w:hAnsi="Times New Roman" w:cs="Times New Roman"/>
      <w:sz w:val="28"/>
      <w:lang w:val="x-none"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553A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53A7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unhideWhenUsed/>
    <w:rsid w:val="008553A7"/>
    <w:rPr>
      <w:vertAlign w:val="superscript"/>
    </w:rPr>
  </w:style>
  <w:style w:type="character" w:styleId="nfase">
    <w:name w:val="Emphasis"/>
    <w:basedOn w:val="Fontepargpadro"/>
    <w:uiPriority w:val="20"/>
    <w:qFormat/>
    <w:rsid w:val="008553A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6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2237</Words>
  <Characters>12080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Beatriz Pacheco Santa Ana Pacheco Santa Ana</dc:creator>
  <cp:keywords/>
  <dc:description/>
  <cp:lastModifiedBy>Guilherme</cp:lastModifiedBy>
  <cp:revision>5</cp:revision>
  <cp:lastPrinted>2020-12-16T15:39:00Z</cp:lastPrinted>
  <dcterms:created xsi:type="dcterms:W3CDTF">2022-10-01T20:42:00Z</dcterms:created>
  <dcterms:modified xsi:type="dcterms:W3CDTF">2022-10-01T20:59:00Z</dcterms:modified>
</cp:coreProperties>
</file>