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24" w:rsidRPr="00375C3E" w:rsidRDefault="00E3151E" w:rsidP="001912B9">
      <w:pPr>
        <w:pStyle w:val="Normal1"/>
        <w:spacing w:before="120" w:after="12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C3E">
        <w:rPr>
          <w:rFonts w:ascii="Times New Roman" w:hAnsi="Times New Roman" w:cs="Times New Roman"/>
          <w:b/>
          <w:sz w:val="24"/>
          <w:szCs w:val="24"/>
        </w:rPr>
        <w:t xml:space="preserve">AO JUÍZO DA </w:t>
      </w:r>
      <w:r w:rsidRPr="00375C3E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2E7924" w:rsidRPr="00375C3E">
        <w:rPr>
          <w:rFonts w:ascii="Times New Roman" w:hAnsi="Times New Roman" w:cs="Times New Roman"/>
          <w:b/>
          <w:sz w:val="24"/>
          <w:szCs w:val="24"/>
        </w:rPr>
        <w:t xml:space="preserve">VARA DE ENTORPECENTES DO DISTRITO FEDERAL </w:t>
      </w:r>
    </w:p>
    <w:p w:rsidR="002E7924" w:rsidRPr="00375C3E" w:rsidRDefault="002E7924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E7924" w:rsidRPr="00375C3E" w:rsidRDefault="002E7924" w:rsidP="0060074D">
      <w:pPr>
        <w:pStyle w:val="Normal1"/>
        <w:spacing w:before="120" w:after="120" w:line="36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375C3E">
        <w:rPr>
          <w:rFonts w:ascii="Times New Roman" w:hAnsi="Times New Roman" w:cs="Times New Roman"/>
          <w:b/>
          <w:sz w:val="24"/>
          <w:szCs w:val="24"/>
          <w:highlight w:val="yellow"/>
        </w:rPr>
        <w:t>Autos</w:t>
      </w:r>
      <w:r w:rsidR="00E3151E" w:rsidRPr="00375C3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nº XXX</w:t>
      </w:r>
    </w:p>
    <w:p w:rsidR="0060074D" w:rsidRPr="00375C3E" w:rsidRDefault="0060074D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24" w:rsidRPr="00375C3E" w:rsidRDefault="00E3151E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b/>
          <w:sz w:val="24"/>
          <w:szCs w:val="24"/>
          <w:highlight w:val="yellow"/>
        </w:rPr>
        <w:t>PARTE</w:t>
      </w:r>
      <w:r w:rsidR="002E7924" w:rsidRPr="00375C3E">
        <w:rPr>
          <w:rFonts w:ascii="Times New Roman" w:hAnsi="Times New Roman" w:cs="Times New Roman"/>
          <w:sz w:val="24"/>
          <w:szCs w:val="24"/>
        </w:rPr>
        <w:t>, já devidamente qualificado nos autos, por intermédio da DEFENSORIA PÚBLICA DO DISTRITO FE</w:t>
      </w:r>
      <w:r w:rsidRPr="00375C3E">
        <w:rPr>
          <w:rFonts w:ascii="Times New Roman" w:hAnsi="Times New Roman" w:cs="Times New Roman"/>
          <w:sz w:val="24"/>
          <w:szCs w:val="24"/>
        </w:rPr>
        <w:t xml:space="preserve">DERAL, presentada pela </w:t>
      </w:r>
      <w:proofErr w:type="gramStart"/>
      <w:r w:rsidRPr="00375C3E">
        <w:rPr>
          <w:rFonts w:ascii="Times New Roman" w:hAnsi="Times New Roman" w:cs="Times New Roman"/>
          <w:sz w:val="24"/>
          <w:szCs w:val="24"/>
        </w:rPr>
        <w:t>defensor(</w:t>
      </w:r>
      <w:proofErr w:type="gramEnd"/>
      <w:r w:rsidRPr="00375C3E">
        <w:rPr>
          <w:rFonts w:ascii="Times New Roman" w:hAnsi="Times New Roman" w:cs="Times New Roman"/>
          <w:sz w:val="24"/>
          <w:szCs w:val="24"/>
        </w:rPr>
        <w:t>a) público(o)</w:t>
      </w:r>
      <w:r w:rsidR="002E7924" w:rsidRPr="00375C3E">
        <w:rPr>
          <w:rFonts w:ascii="Times New Roman" w:hAnsi="Times New Roman" w:cs="Times New Roman"/>
          <w:sz w:val="24"/>
          <w:szCs w:val="24"/>
        </w:rPr>
        <w:t xml:space="preserve"> que a esta subscreve, vem à p</w:t>
      </w:r>
      <w:r w:rsidRPr="00375C3E">
        <w:rPr>
          <w:rFonts w:ascii="Times New Roman" w:hAnsi="Times New Roman" w:cs="Times New Roman"/>
          <w:sz w:val="24"/>
          <w:szCs w:val="24"/>
        </w:rPr>
        <w:t xml:space="preserve">resença deste Juízo, apresentar, com fundamento no art. 403, § 3º, do Código de Processo Penal, </w:t>
      </w:r>
    </w:p>
    <w:p w:rsidR="002E7924" w:rsidRPr="00375C3E" w:rsidRDefault="002E7924" w:rsidP="002E7924">
      <w:pPr>
        <w:pStyle w:val="Normal1"/>
        <w:spacing w:before="120" w:after="120" w:line="360" w:lineRule="auto"/>
        <w:ind w:right="-285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3E">
        <w:rPr>
          <w:rFonts w:ascii="Times New Roman" w:hAnsi="Times New Roman" w:cs="Times New Roman"/>
          <w:b/>
          <w:sz w:val="24"/>
          <w:szCs w:val="24"/>
        </w:rPr>
        <w:t>ALEGAÇÕES FINAIS</w:t>
      </w:r>
    </w:p>
    <w:p w:rsidR="002E7924" w:rsidRPr="00375C3E" w:rsidRDefault="002E7924" w:rsidP="00CD488E">
      <w:pPr>
        <w:pStyle w:val="Normal1"/>
        <w:spacing w:before="120" w:after="12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C3E">
        <w:rPr>
          <w:rFonts w:ascii="Times New Roman" w:hAnsi="Times New Roman" w:cs="Times New Roman"/>
          <w:sz w:val="24"/>
          <w:szCs w:val="24"/>
        </w:rPr>
        <w:t>pelos</w:t>
      </w:r>
      <w:proofErr w:type="gramEnd"/>
      <w:r w:rsidRPr="00375C3E">
        <w:rPr>
          <w:rFonts w:ascii="Times New Roman" w:hAnsi="Times New Roman" w:cs="Times New Roman"/>
          <w:sz w:val="24"/>
          <w:szCs w:val="24"/>
        </w:rPr>
        <w:t xml:space="preserve"> fatos e fundamentos que passa a expor.</w:t>
      </w:r>
    </w:p>
    <w:p w:rsidR="002E7924" w:rsidRPr="00375C3E" w:rsidRDefault="002E7924" w:rsidP="002E7924">
      <w:pPr>
        <w:pStyle w:val="Normal1"/>
        <w:numPr>
          <w:ilvl w:val="0"/>
          <w:numId w:val="1"/>
        </w:numPr>
        <w:spacing w:before="120" w:after="120" w:line="360" w:lineRule="auto"/>
        <w:ind w:right="-2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C3E">
        <w:rPr>
          <w:rFonts w:ascii="Times New Roman" w:hAnsi="Times New Roman" w:cs="Times New Roman"/>
          <w:b/>
          <w:sz w:val="24"/>
          <w:szCs w:val="24"/>
        </w:rPr>
        <w:t>DA SÍNTESE DOS FATOS</w:t>
      </w:r>
    </w:p>
    <w:p w:rsidR="00E3151E" w:rsidRPr="00375C3E" w:rsidRDefault="002E7924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 O Ministério Público imputa ao acusado a prática da conduta descrita no art. 33 da Lei 11.343/06. </w:t>
      </w:r>
    </w:p>
    <w:p w:rsidR="00E3151E" w:rsidRPr="00375C3E" w:rsidRDefault="00E3151E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A denúncia narra que </w:t>
      </w:r>
      <w:proofErr w:type="gramStart"/>
      <w:r w:rsidRPr="00375C3E">
        <w:rPr>
          <w:rFonts w:ascii="Times New Roman" w:hAnsi="Times New Roman" w:cs="Times New Roman"/>
          <w:sz w:val="24"/>
          <w:szCs w:val="24"/>
          <w:highlight w:val="yellow"/>
        </w:rPr>
        <w:t>( ...</w:t>
      </w:r>
      <w:proofErr w:type="gramEnd"/>
      <w:r w:rsidRPr="00375C3E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37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924" w:rsidRPr="00375C3E" w:rsidRDefault="002E7924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Durante a instrução, foram colhidos os depoimentos das testemunhas </w:t>
      </w:r>
      <w:r w:rsidR="00E3151E" w:rsidRPr="00375C3E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E3151E" w:rsidRPr="00375C3E">
        <w:rPr>
          <w:rFonts w:ascii="Times New Roman" w:hAnsi="Times New Roman" w:cs="Times New Roman"/>
          <w:sz w:val="24"/>
          <w:szCs w:val="24"/>
        </w:rPr>
        <w:t xml:space="preserve"> </w:t>
      </w:r>
      <w:r w:rsidRPr="00375C3E">
        <w:rPr>
          <w:rFonts w:ascii="Times New Roman" w:hAnsi="Times New Roman" w:cs="Times New Roman"/>
          <w:sz w:val="24"/>
          <w:szCs w:val="24"/>
        </w:rPr>
        <w:t xml:space="preserve">e, ao final, foi realizado o interrogatório do réu. </w:t>
      </w:r>
    </w:p>
    <w:p w:rsidR="002E7924" w:rsidRPr="00375C3E" w:rsidRDefault="002E7924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>O Ministério Público apresentou alegações finais (ID</w:t>
      </w:r>
      <w:r w:rsidR="00E3151E" w:rsidRPr="00375C3E">
        <w:rPr>
          <w:rFonts w:ascii="Times New Roman" w:hAnsi="Times New Roman" w:cs="Times New Roman"/>
          <w:sz w:val="24"/>
          <w:szCs w:val="24"/>
        </w:rPr>
        <w:t xml:space="preserve"> </w:t>
      </w:r>
      <w:r w:rsidR="00E3151E" w:rsidRPr="00375C3E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Pr="00375C3E">
        <w:rPr>
          <w:rFonts w:ascii="Times New Roman" w:hAnsi="Times New Roman" w:cs="Times New Roman"/>
          <w:sz w:val="24"/>
          <w:szCs w:val="24"/>
        </w:rPr>
        <w:t xml:space="preserve">), pugnando pela condenação do réu, nos termos da denúncia. </w:t>
      </w:r>
    </w:p>
    <w:p w:rsidR="00E3151E" w:rsidRPr="00375C3E" w:rsidRDefault="00E3151E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>Ato contínuo, foram os auto</w:t>
      </w:r>
      <w:r w:rsidR="00042235" w:rsidRPr="00375C3E">
        <w:rPr>
          <w:rFonts w:ascii="Times New Roman" w:hAnsi="Times New Roman" w:cs="Times New Roman"/>
          <w:sz w:val="24"/>
          <w:szCs w:val="24"/>
        </w:rPr>
        <w:t>s foram encaminhados à</w:t>
      </w:r>
      <w:r w:rsidRPr="00375C3E">
        <w:rPr>
          <w:rFonts w:ascii="Times New Roman" w:hAnsi="Times New Roman" w:cs="Times New Roman"/>
          <w:sz w:val="24"/>
          <w:szCs w:val="24"/>
        </w:rPr>
        <w:t xml:space="preserve"> Defensoria Pública do Distrito Federal para a apresentação de alegações finais.</w:t>
      </w:r>
    </w:p>
    <w:p w:rsidR="002E7924" w:rsidRPr="00375C3E" w:rsidRDefault="002E7924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É o relatório. </w:t>
      </w:r>
      <w:bookmarkStart w:id="0" w:name="_GoBack"/>
      <w:bookmarkEnd w:id="0"/>
    </w:p>
    <w:p w:rsidR="00BF1AEB" w:rsidRPr="00375C3E" w:rsidRDefault="002E7924" w:rsidP="0060074D">
      <w:pPr>
        <w:pStyle w:val="Normal1"/>
        <w:numPr>
          <w:ilvl w:val="0"/>
          <w:numId w:val="1"/>
        </w:numPr>
        <w:spacing w:before="120" w:after="120" w:line="36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 DESCLASSIFICAÇÃO PARA A INFRAÇÃO DE PORTE PARA CONSUMO PESSOAL</w:t>
      </w:r>
    </w:p>
    <w:p w:rsidR="00042235" w:rsidRPr="00375C3E" w:rsidRDefault="00042235" w:rsidP="00042235">
      <w:pPr>
        <w:spacing w:line="360" w:lineRule="auto"/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As provas colhidas durante a instrução processual não conferem a certeza da prática dos delitos narrados na denúncia, </w:t>
      </w:r>
      <w:r w:rsidRPr="00375C3E">
        <w:rPr>
          <w:rFonts w:ascii="Times New Roman" w:hAnsi="Times New Roman" w:cs="Times New Roman"/>
          <w:sz w:val="24"/>
          <w:szCs w:val="24"/>
        </w:rPr>
        <w:t xml:space="preserve">uma vez que </w:t>
      </w:r>
      <w:r w:rsidRPr="00375C3E">
        <w:rPr>
          <w:rFonts w:ascii="Times New Roman" w:hAnsi="Times New Roman" w:cs="Times New Roman"/>
          <w:sz w:val="24"/>
          <w:szCs w:val="24"/>
        </w:rPr>
        <w:t>verifica-se que não há nos autos provas suficientes para atestar a materialidade e au</w:t>
      </w:r>
      <w:r w:rsidRPr="00375C3E">
        <w:rPr>
          <w:rFonts w:ascii="Times New Roman" w:hAnsi="Times New Roman" w:cs="Times New Roman"/>
          <w:sz w:val="24"/>
          <w:szCs w:val="24"/>
        </w:rPr>
        <w:t>toria do delito de tráfico de drogas.</w:t>
      </w:r>
    </w:p>
    <w:p w:rsidR="00BF1AEB" w:rsidRPr="00375C3E" w:rsidRDefault="00BF1AEB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68C" w:rsidRPr="00375C3E" w:rsidRDefault="006C568C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Em juízo, o </w:t>
      </w:r>
      <w:r w:rsidR="005B5F20" w:rsidRPr="00375C3E">
        <w:rPr>
          <w:rFonts w:ascii="Times New Roman" w:eastAsia="Times New Roman" w:hAnsi="Times New Roman" w:cs="Times New Roman"/>
          <w:sz w:val="24"/>
          <w:szCs w:val="24"/>
          <w:highlight w:val="yellow"/>
        </w:rPr>
        <w:t>réu o direito de ficar em silêncio.</w:t>
      </w:r>
      <w:r w:rsidR="005B5F20" w:rsidRPr="00375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35" w:rsidRPr="00375C3E" w:rsidRDefault="00935F2A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Quando indagado sobre a acusação constante na denúncia, </w:t>
      </w:r>
      <w:r w:rsidR="00042235" w:rsidRPr="00375C3E">
        <w:rPr>
          <w:rFonts w:ascii="Times New Roman" w:hAnsi="Times New Roman" w:cs="Times New Roman"/>
          <w:sz w:val="24"/>
          <w:szCs w:val="24"/>
          <w:highlight w:val="yellow"/>
        </w:rPr>
        <w:t>a testemunha X</w:t>
      </w:r>
    </w:p>
    <w:p w:rsidR="00E45321" w:rsidRPr="00375C3E" w:rsidRDefault="00935F2A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042235" w:rsidRPr="00375C3E">
        <w:rPr>
          <w:rFonts w:ascii="Times New Roman" w:hAnsi="Times New Roman" w:cs="Times New Roman"/>
          <w:sz w:val="24"/>
          <w:szCs w:val="24"/>
          <w:highlight w:val="yellow"/>
        </w:rPr>
        <w:t>a testemunha Y relatou que</w:t>
      </w:r>
      <w:r w:rsidR="00132BA7" w:rsidRPr="0037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A7" w:rsidRPr="00375C3E" w:rsidRDefault="00E45321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5C3E">
        <w:rPr>
          <w:rFonts w:ascii="Times New Roman" w:hAnsi="Times New Roman" w:cs="Times New Roman"/>
          <w:sz w:val="24"/>
          <w:szCs w:val="24"/>
        </w:rPr>
        <w:t xml:space="preserve">Os depoimentos dos policiais colhidos não permitem uma ponderação definitiva </w:t>
      </w:r>
      <w:r w:rsidR="00132BA7" w:rsidRPr="00375C3E">
        <w:rPr>
          <w:rFonts w:ascii="Times New Roman" w:hAnsi="Times New Roman" w:cs="Times New Roman"/>
          <w:sz w:val="24"/>
          <w:szCs w:val="24"/>
        </w:rPr>
        <w:t xml:space="preserve">quanto a prática de tráfico de drogas </w:t>
      </w:r>
      <w:r w:rsidRPr="00375C3E">
        <w:rPr>
          <w:rFonts w:ascii="Times New Roman" w:hAnsi="Times New Roman" w:cs="Times New Roman"/>
          <w:sz w:val="24"/>
          <w:szCs w:val="24"/>
        </w:rPr>
        <w:t>pelo réu</w:t>
      </w:r>
      <w:r w:rsidR="00132BA7" w:rsidRPr="00375C3E">
        <w:rPr>
          <w:rFonts w:ascii="Times New Roman" w:hAnsi="Times New Roman" w:cs="Times New Roman"/>
          <w:sz w:val="24"/>
          <w:szCs w:val="24"/>
        </w:rPr>
        <w:t>, uma vez que não restou demonstrado a intenção do réu ou destino da droga</w:t>
      </w:r>
    </w:p>
    <w:p w:rsidR="00F74B0E" w:rsidRPr="00375C3E" w:rsidRDefault="00F74B0E" w:rsidP="002E7924">
      <w:pPr>
        <w:pStyle w:val="Corpodetexto"/>
        <w:spacing w:before="120"/>
        <w:ind w:left="2268" w:right="-285" w:firstLine="1134"/>
        <w:jc w:val="both"/>
        <w:rPr>
          <w:sz w:val="24"/>
          <w:szCs w:val="24"/>
        </w:rPr>
      </w:pPr>
    </w:p>
    <w:p w:rsidR="00B05FBE" w:rsidRPr="00375C3E" w:rsidRDefault="00042235" w:rsidP="00042235">
      <w:pPr>
        <w:pStyle w:val="Corpodetexto"/>
        <w:spacing w:after="120" w:line="360" w:lineRule="auto"/>
        <w:ind w:left="57" w:right="-284"/>
        <w:jc w:val="both"/>
        <w:rPr>
          <w:bCs/>
          <w:sz w:val="24"/>
          <w:szCs w:val="24"/>
        </w:rPr>
      </w:pPr>
      <w:r w:rsidRPr="00375C3E">
        <w:rPr>
          <w:sz w:val="24"/>
          <w:szCs w:val="24"/>
        </w:rPr>
        <w:t xml:space="preserve">               </w:t>
      </w:r>
      <w:r w:rsidR="006313F3" w:rsidRPr="00375C3E">
        <w:rPr>
          <w:bCs/>
          <w:sz w:val="24"/>
          <w:szCs w:val="24"/>
        </w:rPr>
        <w:t>Assim, não havendo elementos suficientes para que se possa afirmar que o réu</w:t>
      </w:r>
      <w:r w:rsidR="00132BA7" w:rsidRPr="00375C3E">
        <w:rPr>
          <w:bCs/>
          <w:sz w:val="24"/>
          <w:szCs w:val="24"/>
        </w:rPr>
        <w:t xml:space="preserve"> tinha o intuito</w:t>
      </w:r>
      <w:r w:rsidRPr="00375C3E">
        <w:rPr>
          <w:bCs/>
          <w:sz w:val="24"/>
          <w:szCs w:val="24"/>
        </w:rPr>
        <w:t xml:space="preserve"> </w:t>
      </w:r>
      <w:r w:rsidRPr="00375C3E">
        <w:rPr>
          <w:bCs/>
          <w:sz w:val="24"/>
          <w:szCs w:val="24"/>
          <w:highlight w:val="yellow"/>
        </w:rPr>
        <w:t>XXX</w:t>
      </w:r>
      <w:r w:rsidRPr="00375C3E">
        <w:rPr>
          <w:bCs/>
          <w:sz w:val="24"/>
          <w:szCs w:val="24"/>
        </w:rPr>
        <w:t xml:space="preserve"> </w:t>
      </w:r>
      <w:r w:rsidR="006313F3" w:rsidRPr="00375C3E">
        <w:rPr>
          <w:bCs/>
          <w:sz w:val="24"/>
          <w:szCs w:val="24"/>
        </w:rPr>
        <w:t>, a verdade é que a acusação não</w:t>
      </w:r>
      <w:r w:rsidR="00B05FBE" w:rsidRPr="00375C3E">
        <w:rPr>
          <w:bCs/>
          <w:sz w:val="24"/>
          <w:szCs w:val="24"/>
        </w:rPr>
        <w:t xml:space="preserve"> conseguiu provar sua pretensão.</w:t>
      </w:r>
    </w:p>
    <w:p w:rsidR="00375C3E" w:rsidRPr="00375C3E" w:rsidRDefault="00375C3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 xml:space="preserve">A tese do tráfico se baseia única e exclusivamente na palavra dos policiais, vez que </w:t>
      </w:r>
      <w:r w:rsidRPr="00375C3E">
        <w:rPr>
          <w:sz w:val="24"/>
          <w:szCs w:val="24"/>
        </w:rPr>
        <w:t xml:space="preserve">a </w:t>
      </w:r>
      <w:r w:rsidRPr="00375C3E">
        <w:rPr>
          <w:sz w:val="24"/>
          <w:szCs w:val="24"/>
        </w:rPr>
        <w:t>prova da materialidade consubstanciada no laudo de constatação nada diz sobre a destinação que se daria ao entorpecente.</w:t>
      </w:r>
      <w:r w:rsidRPr="00375C3E">
        <w:rPr>
          <w:sz w:val="24"/>
          <w:szCs w:val="24"/>
        </w:rPr>
        <w:t xml:space="preserve"> </w:t>
      </w:r>
    </w:p>
    <w:p w:rsidR="00375C3E" w:rsidRDefault="00375C3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Ade</w:t>
      </w:r>
      <w:r>
        <w:rPr>
          <w:sz w:val="24"/>
          <w:szCs w:val="24"/>
        </w:rPr>
        <w:t xml:space="preserve">rir à versão dos policiais </w:t>
      </w:r>
      <w:r w:rsidRPr="00375C3E">
        <w:rPr>
          <w:sz w:val="24"/>
          <w:szCs w:val="24"/>
        </w:rPr>
        <w:t xml:space="preserve"> implica em fazer recair</w:t>
      </w:r>
      <w:r w:rsidRPr="00375C3E">
        <w:rPr>
          <w:sz w:val="24"/>
          <w:szCs w:val="24"/>
        </w:rPr>
        <w:t xml:space="preserve"> exclusivamente sobre o acusado</w:t>
      </w:r>
      <w:r w:rsidRPr="00375C3E">
        <w:rPr>
          <w:sz w:val="24"/>
          <w:szCs w:val="24"/>
        </w:rPr>
        <w:t xml:space="preserve"> o ônus de comprovar a destinação do entorpecente para uso pessoal. E em Direito Penal, impera a presunção de inocência. Implica ainda em atribuir a uma prova de confiabilidade extremamente limitada o caráter de suficiência probatória, ao se inverter o ônus da prova e exigir que o acusado prove sua inocência. </w:t>
      </w:r>
    </w:p>
    <w:p w:rsidR="00375C3E" w:rsidRDefault="00375C3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Como, além de através d</w:t>
      </w:r>
      <w:r w:rsidRPr="00375C3E">
        <w:rPr>
          <w:sz w:val="24"/>
          <w:szCs w:val="24"/>
        </w:rPr>
        <w:t>o depoimento do próprio réu</w:t>
      </w:r>
      <w:r w:rsidRPr="00375C3E">
        <w:rPr>
          <w:sz w:val="24"/>
          <w:szCs w:val="24"/>
        </w:rPr>
        <w:t xml:space="preserve">, seria possível demonstrar que a abordagem não ocorreu exatamente da maneira que descreveram os policiais? Se trata de empreitada praticamente impossível. Não há registros audiovisuais da atuação dos policiais, nem outras testemunhas que tenham presenciado a abordagem e possam confirmar que os fatos se deram da maneira que os policiais descreveram. </w:t>
      </w:r>
    </w:p>
    <w:p w:rsidR="00375C3E" w:rsidRPr="00375C3E" w:rsidRDefault="00375C3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 xml:space="preserve">A descrição de uma suposta venda que os policiais teriam presenciado e a menção à suposta confissão informal no local dos fatos são elementos centrais para a narrativa acusatória, pois a mera apreensão do entorpecente, dada sua diminuta quantidade, seria insuficiente para justificar a </w:t>
      </w:r>
      <w:r w:rsidRPr="00375C3E">
        <w:rPr>
          <w:sz w:val="24"/>
          <w:szCs w:val="24"/>
        </w:rPr>
        <w:t xml:space="preserve">prisão. </w:t>
      </w:r>
    </w:p>
    <w:p w:rsidR="00375C3E" w:rsidRPr="00375C3E" w:rsidRDefault="00375C3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O relato dos policiais é uma prova que, objetivamente, possui forte viés</w:t>
      </w:r>
      <w:r w:rsidRPr="00375C3E">
        <w:rPr>
          <w:sz w:val="24"/>
          <w:szCs w:val="24"/>
        </w:rPr>
        <w:t xml:space="preserve"> não incriminador</w:t>
      </w:r>
      <w:r w:rsidRPr="00375C3E">
        <w:rPr>
          <w:sz w:val="24"/>
          <w:szCs w:val="24"/>
        </w:rPr>
        <w:t xml:space="preserve">, na medida em que se trata de testemunhas que têm interesse direto em legitimar a própria atuação, sob pena de confessarem terem incorrido em atos de abuso de </w:t>
      </w:r>
      <w:r w:rsidRPr="00375C3E">
        <w:rPr>
          <w:sz w:val="24"/>
          <w:szCs w:val="24"/>
        </w:rPr>
        <w:lastRenderedPageBreak/>
        <w:t>autoridade.. Em qualquer outra hipótese, a própria legislação processual pátria por esse motivo liberaria a testemunha de seu compromisso de dizer a verdade e por esse motivo atribuiria a ela o papel de testemunha informante, cujo relato possui peso probatório diminuído</w:t>
      </w:r>
    </w:p>
    <w:p w:rsidR="00375C3E" w:rsidRPr="00375C3E" w:rsidRDefault="00375C3E" w:rsidP="00375C3E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Diante das versões mutuamente excludentes disponíveis no presente processo, faz-se necessário voltar o olhar para os aspectos objetivos</w:t>
      </w:r>
      <w:r>
        <w:rPr>
          <w:sz w:val="24"/>
          <w:szCs w:val="24"/>
        </w:rPr>
        <w:t xml:space="preserve"> do processo</w:t>
      </w:r>
      <w:r w:rsidRPr="00375C3E">
        <w:rPr>
          <w:sz w:val="24"/>
          <w:szCs w:val="24"/>
        </w:rPr>
        <w:t xml:space="preserve">, vez que quanto à prova testemunhal, subjetiva, a dúvida deve pesar em favor do acusado. </w:t>
      </w:r>
    </w:p>
    <w:p w:rsidR="00C52DDE" w:rsidRPr="00375C3E" w:rsidRDefault="00C52DD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Quanto a esses aspectos objetivos, temos que se a diferenciação entre porte para tráfico e porte para uso pessoal dependesse da quantidade de entorpecente apreendido, o réu se enquadraria na categoria de usuário segundo todos os parâmetros disponíveis na doutrina e no direito comparável.</w:t>
      </w:r>
    </w:p>
    <w:p w:rsidR="00C52DDE" w:rsidRPr="00375C3E" w:rsidRDefault="00C52DDE" w:rsidP="002E7924">
      <w:pPr>
        <w:pStyle w:val="Corpodetexto"/>
        <w:spacing w:after="120" w:line="360" w:lineRule="auto"/>
        <w:ind w:left="57" w:right="-284" w:firstLine="1134"/>
        <w:jc w:val="both"/>
        <w:rPr>
          <w:sz w:val="24"/>
          <w:szCs w:val="24"/>
        </w:rPr>
      </w:pPr>
      <w:r w:rsidRPr="00375C3E">
        <w:rPr>
          <w:sz w:val="24"/>
          <w:szCs w:val="24"/>
        </w:rPr>
        <w:t>O Sindicato Nacional dos Peritos Criminais en</w:t>
      </w:r>
      <w:r w:rsidR="001912B9" w:rsidRPr="00375C3E">
        <w:rPr>
          <w:sz w:val="24"/>
          <w:szCs w:val="24"/>
        </w:rPr>
        <w:t xml:space="preserve">tregou em 2019 um estudo ao Supremo Tribunal Federal </w:t>
      </w:r>
      <w:r w:rsidRPr="00375C3E">
        <w:rPr>
          <w:sz w:val="24"/>
          <w:szCs w:val="24"/>
        </w:rPr>
        <w:t>propondo a adoção de critérios quantitativos para diferenciação entre uso e tráfico, estabelecendo para a maconha a quantidade de 40 gramas como limite do compatível com uso pessoal</w:t>
      </w:r>
      <w:r w:rsidRPr="00375C3E">
        <w:rPr>
          <w:rStyle w:val="Refdenotaderodap"/>
          <w:sz w:val="24"/>
          <w:szCs w:val="24"/>
        </w:rPr>
        <w:footnoteReference w:id="1"/>
      </w:r>
      <w:r w:rsidRPr="00375C3E">
        <w:rPr>
          <w:sz w:val="24"/>
          <w:szCs w:val="24"/>
        </w:rPr>
        <w:t>. O parâmetro da Associação Brasileira de Jur</w:t>
      </w:r>
      <w:r w:rsidR="001B4859" w:rsidRPr="00375C3E">
        <w:rPr>
          <w:sz w:val="24"/>
          <w:szCs w:val="24"/>
        </w:rPr>
        <w:t>imetria é entre 5 e 15 gramas.</w:t>
      </w:r>
      <w:r w:rsidRPr="00375C3E">
        <w:rPr>
          <w:sz w:val="24"/>
          <w:szCs w:val="24"/>
        </w:rPr>
        <w:t xml:space="preserve"> 40 gramas é também a quantidade p</w:t>
      </w:r>
      <w:r w:rsidR="001B4859" w:rsidRPr="00375C3E">
        <w:rPr>
          <w:sz w:val="24"/>
          <w:szCs w:val="24"/>
        </w:rPr>
        <w:t>ermitida para porte no Uruguai</w:t>
      </w:r>
      <w:r w:rsidR="001B4859" w:rsidRPr="00375C3E">
        <w:rPr>
          <w:rStyle w:val="Refdenotaderodap"/>
          <w:sz w:val="24"/>
          <w:szCs w:val="24"/>
        </w:rPr>
        <w:footnoteReference w:id="2"/>
      </w:r>
      <w:r w:rsidRPr="00375C3E">
        <w:rPr>
          <w:sz w:val="24"/>
          <w:szCs w:val="24"/>
        </w:rPr>
        <w:t>; no estado americano do Colorado é permitido a comp</w:t>
      </w:r>
      <w:r w:rsidR="001B4859" w:rsidRPr="00375C3E">
        <w:rPr>
          <w:sz w:val="24"/>
          <w:szCs w:val="24"/>
        </w:rPr>
        <w:t>ra de até 8 gramas por pessoa</w:t>
      </w:r>
      <w:r w:rsidR="001B4859" w:rsidRPr="00375C3E">
        <w:rPr>
          <w:rStyle w:val="Refdenotaderodap"/>
          <w:sz w:val="24"/>
          <w:szCs w:val="24"/>
        </w:rPr>
        <w:footnoteReference w:id="3"/>
      </w:r>
      <w:r w:rsidRPr="00375C3E">
        <w:rPr>
          <w:sz w:val="24"/>
          <w:szCs w:val="24"/>
        </w:rPr>
        <w:t>; no estado americano da Califórnia é permit</w:t>
      </w:r>
      <w:r w:rsidR="001B4859" w:rsidRPr="00375C3E">
        <w:rPr>
          <w:sz w:val="24"/>
          <w:szCs w:val="24"/>
        </w:rPr>
        <w:t>ido a compra de até 28 gramas</w:t>
      </w:r>
      <w:r w:rsidR="001B4859" w:rsidRPr="00375C3E">
        <w:rPr>
          <w:rStyle w:val="Refdenotaderodap"/>
          <w:sz w:val="24"/>
          <w:szCs w:val="24"/>
        </w:rPr>
        <w:footnoteReference w:id="4"/>
      </w:r>
      <w:r w:rsidRPr="00375C3E">
        <w:rPr>
          <w:sz w:val="24"/>
          <w:szCs w:val="24"/>
        </w:rPr>
        <w:t>; em Portugal, 25 gramas e na Espanha</w:t>
      </w:r>
      <w:r w:rsidR="001B4859" w:rsidRPr="00375C3E">
        <w:rPr>
          <w:sz w:val="24"/>
          <w:szCs w:val="24"/>
        </w:rPr>
        <w:t xml:space="preserve"> 20 gramas</w:t>
      </w:r>
      <w:r w:rsidR="00FC4BF1" w:rsidRPr="00375C3E">
        <w:rPr>
          <w:rStyle w:val="Refdenotaderodap"/>
          <w:sz w:val="24"/>
          <w:szCs w:val="24"/>
        </w:rPr>
        <w:footnoteReference w:id="5"/>
      </w:r>
      <w:r w:rsidR="001B4859" w:rsidRPr="00375C3E">
        <w:rPr>
          <w:sz w:val="24"/>
          <w:szCs w:val="24"/>
        </w:rPr>
        <w:t xml:space="preserve"> </w:t>
      </w:r>
      <w:r w:rsidRPr="00375C3E">
        <w:rPr>
          <w:sz w:val="24"/>
          <w:szCs w:val="24"/>
        </w:rPr>
        <w:t>. Assim, temos que a quantidade de entorpecente atribuída ao paciente seria considerada compatível com a finalidade do uso pessoal em qualquer uma dessas hipóteses.</w:t>
      </w:r>
    </w:p>
    <w:p w:rsidR="00FC4BF1" w:rsidRPr="00375C3E" w:rsidRDefault="00FC4BF1" w:rsidP="002E7924">
      <w:pPr>
        <w:pStyle w:val="Corpodetexto"/>
        <w:spacing w:after="120" w:line="360" w:lineRule="auto"/>
        <w:ind w:left="57" w:right="-284" w:firstLine="1134"/>
        <w:jc w:val="both"/>
        <w:rPr>
          <w:color w:val="232323"/>
          <w:sz w:val="24"/>
          <w:szCs w:val="24"/>
          <w:shd w:val="clear" w:color="auto" w:fill="FFFFFF"/>
        </w:rPr>
      </w:pPr>
      <w:r w:rsidRPr="00375C3E">
        <w:rPr>
          <w:color w:val="232323"/>
          <w:sz w:val="24"/>
          <w:szCs w:val="24"/>
          <w:shd w:val="clear" w:color="auto" w:fill="FFFFFF"/>
        </w:rPr>
        <w:t>A indicação de critérios como ‘circuns</w:t>
      </w:r>
      <w:r w:rsidR="001912B9" w:rsidRPr="00375C3E">
        <w:rPr>
          <w:color w:val="232323"/>
          <w:sz w:val="24"/>
          <w:szCs w:val="24"/>
          <w:shd w:val="clear" w:color="auto" w:fill="FFFFFF"/>
        </w:rPr>
        <w:t>tâncias sociais e pessoais’ e ‘</w:t>
      </w:r>
      <w:r w:rsidRPr="00375C3E">
        <w:rPr>
          <w:color w:val="232323"/>
          <w:sz w:val="24"/>
          <w:szCs w:val="24"/>
          <w:shd w:val="clear" w:color="auto" w:fill="FFFFFF"/>
        </w:rPr>
        <w:t xml:space="preserve">local e condições em que se desenvolveu a ação’, abrem margem para a institucionalização de decisões baseadas em concepções discriminatórias e arbitrárias, em especial por que o artigo </w:t>
      </w:r>
      <w:r w:rsidRPr="00375C3E">
        <w:rPr>
          <w:color w:val="232323"/>
          <w:sz w:val="24"/>
          <w:szCs w:val="24"/>
          <w:shd w:val="clear" w:color="auto" w:fill="FFFFFF"/>
        </w:rPr>
        <w:lastRenderedPageBreak/>
        <w:t>33</w:t>
      </w:r>
      <w:r w:rsidR="00042235" w:rsidRPr="00375C3E">
        <w:rPr>
          <w:color w:val="232323"/>
          <w:sz w:val="24"/>
          <w:szCs w:val="24"/>
          <w:shd w:val="clear" w:color="auto" w:fill="FFFFFF"/>
        </w:rPr>
        <w:t xml:space="preserve"> da Lei 11.343 </w:t>
      </w:r>
      <w:r w:rsidRPr="00375C3E">
        <w:rPr>
          <w:color w:val="232323"/>
          <w:sz w:val="24"/>
          <w:szCs w:val="24"/>
          <w:shd w:val="clear" w:color="auto" w:fill="FFFFFF"/>
        </w:rPr>
        <w:t xml:space="preserve"> não prescinde de </w:t>
      </w:r>
      <w:r w:rsidRPr="00375C3E">
        <w:rPr>
          <w:i/>
          <w:color w:val="232323"/>
          <w:sz w:val="24"/>
          <w:szCs w:val="24"/>
          <w:shd w:val="clear" w:color="auto" w:fill="FFFFFF"/>
        </w:rPr>
        <w:t>animus lucrandi</w:t>
      </w:r>
      <w:r w:rsidRPr="00375C3E">
        <w:rPr>
          <w:color w:val="232323"/>
          <w:sz w:val="24"/>
          <w:szCs w:val="24"/>
          <w:shd w:val="clear" w:color="auto" w:fill="FFFFFF"/>
        </w:rPr>
        <w:t>, de modo que o dolo é afastado na análise da conduta do réu.</w:t>
      </w:r>
    </w:p>
    <w:p w:rsidR="00352734" w:rsidRPr="00375C3E" w:rsidRDefault="00CB537D" w:rsidP="002E7924">
      <w:pPr>
        <w:pStyle w:val="Corpodetexto"/>
        <w:spacing w:after="120" w:line="360" w:lineRule="auto"/>
        <w:ind w:left="57" w:right="-284" w:firstLine="1134"/>
        <w:jc w:val="both"/>
        <w:rPr>
          <w:color w:val="232323"/>
          <w:sz w:val="24"/>
          <w:szCs w:val="24"/>
          <w:shd w:val="clear" w:color="auto" w:fill="FFFFFF"/>
        </w:rPr>
      </w:pPr>
      <w:r>
        <w:rPr>
          <w:color w:val="232323"/>
          <w:sz w:val="24"/>
          <w:szCs w:val="24"/>
          <w:shd w:val="clear" w:color="auto" w:fill="FFFFFF"/>
        </w:rPr>
        <w:t xml:space="preserve">Nesse sentido </w:t>
      </w:r>
      <w:r w:rsidR="00352734" w:rsidRPr="00375C3E">
        <w:rPr>
          <w:color w:val="232323"/>
          <w:sz w:val="24"/>
          <w:szCs w:val="24"/>
          <w:shd w:val="clear" w:color="auto" w:fill="FFFFFF"/>
        </w:rPr>
        <w:t>Luís Carlos Valois elucida que:</w:t>
      </w:r>
    </w:p>
    <w:p w:rsidR="00352734" w:rsidRPr="00375C3E" w:rsidRDefault="00352734" w:rsidP="00375C3E">
      <w:pPr>
        <w:pStyle w:val="Corpodetexto"/>
        <w:spacing w:after="120"/>
        <w:ind w:left="2268" w:right="-284"/>
        <w:jc w:val="both"/>
        <w:rPr>
          <w:color w:val="232323"/>
          <w:sz w:val="20"/>
          <w:szCs w:val="20"/>
          <w:shd w:val="clear" w:color="auto" w:fill="FFFFFF"/>
        </w:rPr>
      </w:pPr>
      <w:r w:rsidRPr="00375C3E">
        <w:rPr>
          <w:color w:val="232323"/>
          <w:sz w:val="20"/>
          <w:szCs w:val="20"/>
          <w:shd w:val="clear" w:color="auto" w:fill="FFFFFF"/>
        </w:rPr>
        <w:t>“As condutas de trazer consigo e ter em depósito drogas entre as que tipificam o crime de tráfico e revelador do interesse do Estado em tornar o poder punitivo cada vez mais discricionário, e a desnecessidade de comprovação de dolo de comércio por parte da jurisprudência</w:t>
      </w:r>
      <w:r w:rsidR="00375C3E">
        <w:rPr>
          <w:color w:val="232323"/>
          <w:sz w:val="20"/>
          <w:szCs w:val="20"/>
          <w:shd w:val="clear" w:color="auto" w:fill="FFFFFF"/>
        </w:rPr>
        <w:t>,</w:t>
      </w:r>
      <w:r w:rsidR="00262C7B" w:rsidRPr="00375C3E">
        <w:rPr>
          <w:color w:val="232323"/>
          <w:sz w:val="20"/>
          <w:szCs w:val="20"/>
          <w:shd w:val="clear" w:color="auto" w:fill="FFFFFF"/>
        </w:rPr>
        <w:t xml:space="preserve"> torna a posse de uma substância o aval para que o judiciário decida se o possuidor pensava, especulava ou tentava com ela praticar uma atividade de comércio. A presunção de tráfico de drogas por parte da polícia, com a chancela do Ministério Público e do judiciáio, ocasiona uma verdadeira inversão do ônus da prova”.</w:t>
      </w:r>
      <w:r w:rsidR="00262C7B" w:rsidRPr="00375C3E">
        <w:rPr>
          <w:rStyle w:val="Refdenotaderodap"/>
          <w:color w:val="232323"/>
          <w:sz w:val="20"/>
          <w:szCs w:val="20"/>
          <w:shd w:val="clear" w:color="auto" w:fill="FFFFFF"/>
        </w:rPr>
        <w:footnoteReference w:id="6"/>
      </w:r>
    </w:p>
    <w:p w:rsidR="00CB537D" w:rsidRDefault="00CB537D" w:rsidP="0060074D">
      <w:pPr>
        <w:spacing w:before="120" w:after="120" w:line="240" w:lineRule="auto"/>
        <w:ind w:left="2268" w:right="-204"/>
        <w:jc w:val="both"/>
        <w:rPr>
          <w:rFonts w:ascii="Times New Roman" w:hAnsi="Times New Roman" w:cs="Times New Roman"/>
          <w:sz w:val="24"/>
          <w:szCs w:val="24"/>
        </w:rPr>
      </w:pPr>
    </w:p>
    <w:p w:rsidR="00CB537D" w:rsidRDefault="00CB537D" w:rsidP="00CB537D">
      <w:pPr>
        <w:spacing w:before="120" w:after="120" w:line="240" w:lineRule="auto"/>
        <w:ind w:right="-20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o tema assim já se pronunciou o Tribunal de Justiça do Distrito Federal e Territórios:</w:t>
      </w:r>
    </w:p>
    <w:p w:rsidR="0060074D" w:rsidRPr="00375C3E" w:rsidRDefault="0060074D" w:rsidP="0060074D">
      <w:pPr>
        <w:spacing w:before="120" w:after="120" w:line="240" w:lineRule="auto"/>
        <w:ind w:left="2268" w:right="-20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75C3E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375C3E">
        <w:rPr>
          <w:rFonts w:ascii="Times New Roman" w:hAnsi="Times New Roman" w:cs="Times New Roman"/>
          <w:color w:val="000000"/>
          <w:sz w:val="20"/>
          <w:szCs w:val="20"/>
        </w:rPr>
        <w:t>APELAÇÃO CRIMINAL. TRÁFICO DE DROGAS. ABSOLVIÇÃO. INVIABILIDADE. DESCLASSIFICAÇÃO DA CONDUTA PARA USO. AUSÊNCIA DE ELEMENTOS SUFICIENTES A DEMONSTRAR A CERTEZA DO TRÁFICO. RECURSO PARCIALMENTE PROVIDO. 1. O crime de tráfico de drogas é perigo abstrato, não necessitando de resultado naturalístico para sua concretização e dispensando-se a presença de dolo específico, entretanto, é necessário demonstrar que a droga apreendida em quantidade mediana se destina à difusão ilícita. 2. Não havendo notícia de que os policiais estariam em campana ou investigando o apelante pela prática de comercialização de substâncias entorpecentes, não tendo havido flagrante em situação evidente de comercialização, não tendo ocorrido apreensão de outro instrumento ou apetrecho, apenas a apreensão de quantidade de maconha razoavelmente compatível com o uso, imperiosa a desclassificação para o tipo de porte para consumo pessoal (artigo 28, Lei nº 11.343/2006). 3. Recurso parcialmente provido.   (</w:t>
      </w:r>
      <w:hyperlink r:id="rId8" w:tgtFrame="_blank" w:history="1">
        <w:r w:rsidRPr="00375C3E">
          <w:rPr>
            <w:rStyle w:val="Hyperlink"/>
            <w:rFonts w:ascii="Times New Roman" w:hAnsi="Times New Roman" w:cs="Times New Roman"/>
            <w:sz w:val="20"/>
            <w:szCs w:val="20"/>
          </w:rPr>
          <w:t>Acórdão 1433185</w:t>
        </w:r>
      </w:hyperlink>
      <w:r w:rsidRPr="00375C3E">
        <w:rPr>
          <w:rFonts w:ascii="Times New Roman" w:hAnsi="Times New Roman" w:cs="Times New Roman"/>
          <w:color w:val="000000"/>
          <w:sz w:val="20"/>
          <w:szCs w:val="20"/>
        </w:rPr>
        <w:t xml:space="preserve">, 07372537420218070001, Relator: SILVANIO BARBOSA DOS SANTOS, 2ª Turma Criminal, data de julgamento: 23/6/2022, publicado no </w:t>
      </w:r>
      <w:proofErr w:type="spellStart"/>
      <w:r w:rsidRPr="00375C3E">
        <w:rPr>
          <w:rFonts w:ascii="Times New Roman" w:hAnsi="Times New Roman" w:cs="Times New Roman"/>
          <w:color w:val="000000"/>
          <w:sz w:val="20"/>
          <w:szCs w:val="20"/>
        </w:rPr>
        <w:t>PJe</w:t>
      </w:r>
      <w:proofErr w:type="spellEnd"/>
      <w:r w:rsidRPr="00375C3E">
        <w:rPr>
          <w:rFonts w:ascii="Times New Roman" w:hAnsi="Times New Roman" w:cs="Times New Roman"/>
          <w:color w:val="000000"/>
          <w:sz w:val="20"/>
          <w:szCs w:val="20"/>
        </w:rPr>
        <w:t xml:space="preserve">: 7/7/2022. </w:t>
      </w:r>
      <w:proofErr w:type="gramStart"/>
      <w:r w:rsidRPr="00375C3E">
        <w:rPr>
          <w:rFonts w:ascii="Times New Roman" w:hAnsi="Times New Roman" w:cs="Times New Roman"/>
          <w:color w:val="000000"/>
          <w:sz w:val="20"/>
          <w:szCs w:val="20"/>
        </w:rPr>
        <w:t>Pág.:</w:t>
      </w:r>
      <w:proofErr w:type="gramEnd"/>
      <w:r w:rsidRPr="00375C3E">
        <w:rPr>
          <w:rFonts w:ascii="Times New Roman" w:hAnsi="Times New Roman" w:cs="Times New Roman"/>
          <w:color w:val="000000"/>
          <w:sz w:val="20"/>
          <w:szCs w:val="20"/>
        </w:rPr>
        <w:t xml:space="preserve"> Sem Página Cadastrada.)</w:t>
      </w:r>
    </w:p>
    <w:p w:rsidR="009D1734" w:rsidRPr="00375C3E" w:rsidRDefault="009D1734" w:rsidP="009D1734">
      <w:pPr>
        <w:spacing w:before="120" w:after="120" w:line="240" w:lineRule="auto"/>
        <w:ind w:left="2268" w:right="-204"/>
        <w:jc w:val="both"/>
        <w:rPr>
          <w:rFonts w:ascii="Times New Roman" w:hAnsi="Times New Roman" w:cs="Times New Roman"/>
          <w:sz w:val="20"/>
          <w:szCs w:val="20"/>
        </w:rPr>
      </w:pPr>
      <w:r w:rsidRPr="00375C3E">
        <w:rPr>
          <w:rFonts w:ascii="Times New Roman" w:hAnsi="Times New Roman" w:cs="Times New Roman"/>
          <w:sz w:val="20"/>
          <w:szCs w:val="20"/>
        </w:rPr>
        <w:t xml:space="preserve">  PENAL E PROCESSO PENAL. APELAÇÃO CRIMINAL. TRÁFICO DE DROGAS. INSUFICIÊNCIA DE PROVAS. PRINCÍPIO DO IN DUBIO PRO REO. DESCLASSIFICAÇÃO. ARTIGO 28 DA LEI 11.343/2006. PORTE PARA USO PRÓPRIO. SENTENÇA REFORMADA. 1. O conjunto probatório constante dos autos não é suficiente para a condenação pelo crime de tráfico de drogas, uma vez que não há elementos suficientes que comprovem a prática do delito, devendo ser observado o princípio do in dubio pro reo. Foram verificadas provas de que a droga se destinava para consumo próprio, impõe-se a desclassificação do delito do art. 33 da Lei 11.340/2006 para o art. 28 </w:t>
      </w:r>
      <w:proofErr w:type="gramStart"/>
      <w:r w:rsidRPr="00375C3E">
        <w:rPr>
          <w:rFonts w:ascii="Times New Roman" w:hAnsi="Times New Roman" w:cs="Times New Roman"/>
          <w:sz w:val="20"/>
          <w:szCs w:val="20"/>
        </w:rPr>
        <w:t>do  mesmo</w:t>
      </w:r>
      <w:proofErr w:type="gramEnd"/>
      <w:r w:rsidRPr="00375C3E">
        <w:rPr>
          <w:rFonts w:ascii="Times New Roman" w:hAnsi="Times New Roman" w:cs="Times New Roman"/>
          <w:sz w:val="20"/>
          <w:szCs w:val="20"/>
        </w:rPr>
        <w:t xml:space="preserve"> diploma legal. 2. Conforme jurisprudência dominante do Supremo Tribunal Federal, bem como do Superior Tribunal de Justiça, com o advento da Lei 11.343/2006, não houve a descriminalização da posse de entorpecente para uso pessoal, apenas o afastamento da pena de prisão, devendo o réu se sujeitar às medidas previstas nos incisos I, II e III, do artigo 28 da LAD. 3. Recurso conhecido e </w:t>
      </w:r>
      <w:proofErr w:type="gramStart"/>
      <w:r w:rsidRPr="00375C3E">
        <w:rPr>
          <w:rFonts w:ascii="Times New Roman" w:hAnsi="Times New Roman" w:cs="Times New Roman"/>
          <w:sz w:val="20"/>
          <w:szCs w:val="20"/>
        </w:rPr>
        <w:t>provido.(</w:t>
      </w:r>
      <w:proofErr w:type="gramEnd"/>
      <w:r w:rsidRPr="00375C3E">
        <w:rPr>
          <w:rFonts w:ascii="Times New Roman" w:hAnsi="Times New Roman" w:cs="Times New Roman"/>
          <w:sz w:val="20"/>
          <w:szCs w:val="20"/>
        </w:rPr>
        <w:t xml:space="preserve">Acórdão 1423717, 07041325520218070001, Relator: WALDIR LEÔNCIO LOPES JÚNIOR, , Relator </w:t>
      </w:r>
      <w:proofErr w:type="spellStart"/>
      <w:r w:rsidRPr="00375C3E">
        <w:rPr>
          <w:rFonts w:ascii="Times New Roman" w:hAnsi="Times New Roman" w:cs="Times New Roman"/>
          <w:sz w:val="20"/>
          <w:szCs w:val="20"/>
        </w:rPr>
        <w:t>Designado:SEBASTIÃO</w:t>
      </w:r>
      <w:proofErr w:type="spellEnd"/>
      <w:r w:rsidRPr="00375C3E">
        <w:rPr>
          <w:rFonts w:ascii="Times New Roman" w:hAnsi="Times New Roman" w:cs="Times New Roman"/>
          <w:sz w:val="20"/>
          <w:szCs w:val="20"/>
        </w:rPr>
        <w:t xml:space="preserve"> </w:t>
      </w:r>
      <w:r w:rsidRPr="00375C3E">
        <w:rPr>
          <w:rFonts w:ascii="Times New Roman" w:hAnsi="Times New Roman" w:cs="Times New Roman"/>
          <w:sz w:val="20"/>
          <w:szCs w:val="20"/>
        </w:rPr>
        <w:lastRenderedPageBreak/>
        <w:t xml:space="preserve">COELHO 3ª Turma Criminal, data de julgamento: 12/5/2022, publicado no </w:t>
      </w:r>
      <w:proofErr w:type="spellStart"/>
      <w:r w:rsidRPr="00375C3E">
        <w:rPr>
          <w:rFonts w:ascii="Times New Roman" w:hAnsi="Times New Roman" w:cs="Times New Roman"/>
          <w:sz w:val="20"/>
          <w:szCs w:val="20"/>
        </w:rPr>
        <w:t>PJe</w:t>
      </w:r>
      <w:proofErr w:type="spellEnd"/>
      <w:r w:rsidRPr="00375C3E">
        <w:rPr>
          <w:rFonts w:ascii="Times New Roman" w:hAnsi="Times New Roman" w:cs="Times New Roman"/>
          <w:sz w:val="20"/>
          <w:szCs w:val="20"/>
        </w:rPr>
        <w:t xml:space="preserve">: 31/5/2022. </w:t>
      </w:r>
      <w:proofErr w:type="gramStart"/>
      <w:r w:rsidRPr="00375C3E">
        <w:rPr>
          <w:rFonts w:ascii="Times New Roman" w:hAnsi="Times New Roman" w:cs="Times New Roman"/>
          <w:sz w:val="20"/>
          <w:szCs w:val="20"/>
        </w:rPr>
        <w:t>Pág.:</w:t>
      </w:r>
      <w:proofErr w:type="gramEnd"/>
      <w:r w:rsidRPr="00375C3E">
        <w:rPr>
          <w:rFonts w:ascii="Times New Roman" w:hAnsi="Times New Roman" w:cs="Times New Roman"/>
          <w:sz w:val="20"/>
          <w:szCs w:val="20"/>
        </w:rPr>
        <w:t xml:space="preserve">  Sem Página Cadastrada.)</w:t>
      </w:r>
    </w:p>
    <w:p w:rsidR="0082663D" w:rsidRPr="00375C3E" w:rsidRDefault="0082663D" w:rsidP="009D1734">
      <w:pPr>
        <w:pStyle w:val="Corpodetexto"/>
        <w:spacing w:before="120" w:line="360" w:lineRule="auto"/>
        <w:ind w:right="-204"/>
        <w:rPr>
          <w:sz w:val="24"/>
          <w:szCs w:val="24"/>
        </w:rPr>
      </w:pPr>
    </w:p>
    <w:p w:rsidR="00BF1AEB" w:rsidRPr="00375C3E" w:rsidRDefault="00375C3E" w:rsidP="002E7924">
      <w:pPr>
        <w:pStyle w:val="Normal1"/>
        <w:spacing w:before="120" w:after="120" w:line="360" w:lineRule="auto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c</w:t>
      </w:r>
      <w:r w:rsidR="00262C7B" w:rsidRPr="00375C3E">
        <w:rPr>
          <w:rFonts w:ascii="Times New Roman" w:hAnsi="Times New Roman" w:cs="Times New Roman"/>
          <w:sz w:val="24"/>
          <w:szCs w:val="24"/>
        </w:rPr>
        <w:t>onsiderando que o acusado não confirmou a confissão extrajudicial quando ouvido em juízo, sob o crivo do contraditório e da ampla defesa, e que a quantidade com ele encontrada é perfeitamente compatível com os parâmetros quantitativos estabelecidos pelo direito comparado, requer-se a desclassificação</w:t>
      </w:r>
      <w:r w:rsidR="00DA3450" w:rsidRPr="00375C3E">
        <w:rPr>
          <w:rFonts w:ascii="Times New Roman" w:hAnsi="Times New Roman" w:cs="Times New Roman"/>
          <w:sz w:val="24"/>
          <w:szCs w:val="24"/>
        </w:rPr>
        <w:t xml:space="preserve"> da conduta imputada ao acusado</w:t>
      </w:r>
      <w:r w:rsidR="00262C7B" w:rsidRPr="00375C3E">
        <w:rPr>
          <w:rFonts w:ascii="Times New Roman" w:hAnsi="Times New Roman" w:cs="Times New Roman"/>
          <w:sz w:val="24"/>
          <w:szCs w:val="24"/>
        </w:rPr>
        <w:t xml:space="preserve"> para aquela prevista no art. 28 da Lei 11.343/2006 e remessa dos autos ao Juizado Especial Criminal na forma do art. 69 da Lei 9099/1995.</w:t>
      </w:r>
    </w:p>
    <w:p w:rsidR="009D1734" w:rsidRPr="00375C3E" w:rsidRDefault="009D1734" w:rsidP="002B6721">
      <w:pPr>
        <w:pStyle w:val="Normal1"/>
        <w:numPr>
          <w:ilvl w:val="0"/>
          <w:numId w:val="1"/>
        </w:numPr>
        <w:spacing w:before="120" w:after="120" w:line="360" w:lineRule="auto"/>
        <w:ind w:right="-28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="001912B9" w:rsidRPr="00375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375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PEDIDO</w:t>
      </w:r>
      <w:r w:rsidR="001912B9" w:rsidRPr="00375C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</w:p>
    <w:p w:rsidR="00236B4D" w:rsidRPr="00375C3E" w:rsidRDefault="00375C3E" w:rsidP="00375C3E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Ante o exposto, a Defesa requer </w:t>
      </w:r>
      <w:r w:rsidR="00DA3450" w:rsidRPr="00375C3E">
        <w:rPr>
          <w:rFonts w:ascii="Times New Roman" w:hAnsi="Times New Roman" w:cs="Times New Roman"/>
          <w:sz w:val="24"/>
          <w:szCs w:val="24"/>
        </w:rPr>
        <w:t>a desclassificação da conduta imputada ao paciente para aquela prevista no art. 28 da Lei 11.343/2006 e remessa dos autos ao Juizado Especial Criminal na forma do art. 69 da Lei 9099/1995;</w:t>
      </w:r>
    </w:p>
    <w:p w:rsidR="00DA3450" w:rsidRPr="00375C3E" w:rsidRDefault="000040A7" w:rsidP="00375C3E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fim, pugna pela observância das </w:t>
      </w:r>
      <w:r w:rsidR="00DA3450" w:rsidRPr="00375C3E">
        <w:rPr>
          <w:rFonts w:ascii="Times New Roman" w:hAnsi="Times New Roman" w:cs="Times New Roman"/>
          <w:color w:val="000000"/>
          <w:sz w:val="24"/>
          <w:szCs w:val="24"/>
        </w:rPr>
        <w:t xml:space="preserve">prerrogativas funcionais dos membros da Defensoria Pública, sobretudo a </w:t>
      </w:r>
      <w:r w:rsidR="00DA3450" w:rsidRPr="00375C3E">
        <w:rPr>
          <w:rFonts w:ascii="Times New Roman" w:hAnsi="Times New Roman" w:cs="Times New Roman"/>
          <w:bCs/>
          <w:color w:val="000000"/>
          <w:sz w:val="24"/>
          <w:szCs w:val="24"/>
        </w:rPr>
        <w:t>intimação pessoal mediante entrega dos autos com vista</w:t>
      </w:r>
      <w:r w:rsidR="00DA3450" w:rsidRPr="00375C3E">
        <w:rPr>
          <w:rFonts w:ascii="Times New Roman" w:hAnsi="Times New Roman" w:cs="Times New Roman"/>
          <w:color w:val="000000"/>
          <w:sz w:val="24"/>
          <w:szCs w:val="24"/>
        </w:rPr>
        <w:t xml:space="preserve"> e a </w:t>
      </w:r>
      <w:r w:rsidR="00DA3450" w:rsidRPr="00375C3E">
        <w:rPr>
          <w:rFonts w:ascii="Times New Roman" w:hAnsi="Times New Roman" w:cs="Times New Roman"/>
          <w:bCs/>
          <w:color w:val="000000"/>
          <w:sz w:val="24"/>
          <w:szCs w:val="24"/>
        </w:rPr>
        <w:t>contagem em dobro de todos os prazos processuais</w:t>
      </w:r>
      <w:r w:rsidRPr="00375C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40A7" w:rsidRPr="00375C3E" w:rsidRDefault="000040A7" w:rsidP="000040A7">
      <w:pPr>
        <w:pStyle w:val="Normal1"/>
        <w:spacing w:before="120" w:after="120" w:line="360" w:lineRule="auto"/>
        <w:ind w:left="720" w:right="-285" w:firstLine="9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AEB" w:rsidRPr="00375C3E" w:rsidRDefault="000040A7" w:rsidP="00236B4D">
      <w:pPr>
        <w:pStyle w:val="Normal1"/>
        <w:spacing w:before="120" w:after="120" w:line="360" w:lineRule="auto"/>
        <w:ind w:right="-28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Brasília/DF, </w:t>
      </w:r>
      <w:r w:rsidR="00375C3E" w:rsidRPr="00375C3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 de XX de 20XX</w:t>
      </w:r>
    </w:p>
    <w:p w:rsidR="00BF1AEB" w:rsidRDefault="000040A7" w:rsidP="000040A7">
      <w:pPr>
        <w:pStyle w:val="Normal1"/>
        <w:spacing w:before="120" w:after="120" w:line="240" w:lineRule="auto"/>
        <w:ind w:left="2552" w:right="-28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75C3E" w:rsidRPr="00375C3E" w:rsidRDefault="00375C3E" w:rsidP="000040A7">
      <w:pPr>
        <w:pStyle w:val="Normal1"/>
        <w:spacing w:before="120" w:after="120" w:line="240" w:lineRule="auto"/>
        <w:ind w:left="2552" w:right="-28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AEB" w:rsidRPr="00375C3E" w:rsidRDefault="00BD6E0C" w:rsidP="000040A7">
      <w:pPr>
        <w:spacing w:before="120" w:after="120" w:line="240" w:lineRule="auto"/>
        <w:ind w:right="-284" w:firstLine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BF1AEB" w:rsidRPr="00375C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D26F3B" w:rsidRPr="00D26F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Defensor(</w:t>
      </w:r>
      <w:proofErr w:type="gramEnd"/>
      <w:r w:rsidR="00D26F3B" w:rsidRPr="00D26F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a)  Público (a) </w:t>
      </w:r>
      <w:r w:rsidR="00BF1AEB" w:rsidRPr="00D26F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do Distrito Federal</w:t>
      </w:r>
      <w:r w:rsidR="00BF1AEB" w:rsidRPr="00375C3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p w:rsidR="00677C6E" w:rsidRPr="00375C3E" w:rsidRDefault="00677C6E" w:rsidP="002E7924">
      <w:pPr>
        <w:ind w:right="-285" w:firstLine="1134"/>
        <w:rPr>
          <w:rFonts w:ascii="Times New Roman" w:hAnsi="Times New Roman" w:cs="Times New Roman"/>
          <w:sz w:val="24"/>
          <w:szCs w:val="24"/>
        </w:rPr>
      </w:pPr>
    </w:p>
    <w:sectPr w:rsidR="00677C6E" w:rsidRPr="00375C3E" w:rsidSect="00960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0D" w:rsidRDefault="009B390D" w:rsidP="00BF1AEB">
      <w:pPr>
        <w:spacing w:after="0" w:line="240" w:lineRule="auto"/>
      </w:pPr>
      <w:r>
        <w:separator/>
      </w:r>
    </w:p>
  </w:endnote>
  <w:endnote w:type="continuationSeparator" w:id="0">
    <w:p w:rsidR="009B390D" w:rsidRDefault="009B390D" w:rsidP="00BF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94" w:rsidRDefault="00960E9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28A" w:rsidRPr="004812DB" w:rsidRDefault="00AA028A" w:rsidP="00AA028A">
    <w:pPr>
      <w:pStyle w:val="PargrafodaLista4"/>
      <w:tabs>
        <w:tab w:val="right" w:pos="9071"/>
      </w:tabs>
      <w:spacing w:after="0"/>
      <w:jc w:val="center"/>
      <w:rPr>
        <w:rFonts w:ascii="Garamond" w:hAnsi="Garamond"/>
        <w:sz w:val="20"/>
        <w:szCs w:val="20"/>
      </w:rPr>
    </w:pPr>
    <w:r w:rsidRPr="004812DB">
      <w:rPr>
        <w:rFonts w:ascii="Garamond" w:hAnsi="Garamond" w:cs="Arial"/>
        <w:b/>
        <w:bCs/>
        <w:smallCaps/>
        <w:sz w:val="20"/>
        <w:szCs w:val="20"/>
      </w:rPr>
      <w:t>Núcleo de Assistência jurídica de Brasília</w:t>
    </w:r>
  </w:p>
  <w:p w:rsidR="00AA028A" w:rsidRPr="004812DB" w:rsidRDefault="00AA028A" w:rsidP="00AA028A">
    <w:pPr>
      <w:pStyle w:val="Rodap"/>
      <w:tabs>
        <w:tab w:val="left" w:pos="2835"/>
      </w:tabs>
      <w:jc w:val="center"/>
      <w:rPr>
        <w:rFonts w:ascii="Garamond" w:hAnsi="Garamond"/>
        <w:sz w:val="20"/>
      </w:rPr>
    </w:pPr>
    <w:r w:rsidRPr="004812DB">
      <w:rPr>
        <w:rFonts w:ascii="Garamond" w:hAnsi="Garamond" w:cs="Arial"/>
        <w:bCs/>
        <w:sz w:val="20"/>
      </w:rPr>
      <w:t>Praça Municipal, lote 01, Palácio da Justiça – TJDFT, Bloco B, 2º andar, Brasília/DF</w:t>
    </w:r>
  </w:p>
  <w:p w:rsidR="00AA028A" w:rsidRDefault="00AA028A">
    <w:pPr>
      <w:pStyle w:val="Rodap"/>
    </w:pPr>
  </w:p>
  <w:p w:rsidR="00960E94" w:rsidRDefault="00960E9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94" w:rsidRDefault="00960E9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0D" w:rsidRDefault="009B390D" w:rsidP="00BF1AEB">
      <w:pPr>
        <w:spacing w:after="0" w:line="240" w:lineRule="auto"/>
      </w:pPr>
      <w:r>
        <w:separator/>
      </w:r>
    </w:p>
  </w:footnote>
  <w:footnote w:type="continuationSeparator" w:id="0">
    <w:p w:rsidR="009B390D" w:rsidRDefault="009B390D" w:rsidP="00BF1AEB">
      <w:pPr>
        <w:spacing w:after="0" w:line="240" w:lineRule="auto"/>
      </w:pPr>
      <w:r>
        <w:continuationSeparator/>
      </w:r>
    </w:p>
  </w:footnote>
  <w:footnote w:id="1">
    <w:p w:rsidR="00C52DDE" w:rsidRPr="001912B9" w:rsidRDefault="00C52DDE" w:rsidP="00DA3450">
      <w:pPr>
        <w:pStyle w:val="Textodenotaderodap"/>
        <w:jc w:val="both"/>
        <w:rPr>
          <w:rFonts w:ascii="Garamond" w:hAnsi="Garamond"/>
          <w:color w:val="000000" w:themeColor="text1"/>
        </w:rPr>
      </w:pPr>
      <w:r w:rsidRPr="001912B9">
        <w:rPr>
          <w:rStyle w:val="Refdenotaderodap"/>
          <w:rFonts w:ascii="Garamond" w:hAnsi="Garamond"/>
        </w:rPr>
        <w:footnoteRef/>
      </w:r>
      <w:r w:rsidRPr="001912B9">
        <w:rPr>
          <w:rFonts w:ascii="Garamond" w:hAnsi="Garamond"/>
        </w:rPr>
        <w:t xml:space="preserve"> </w:t>
      </w:r>
      <w:hyperlink r:id="rId1" w:history="1">
        <w:r w:rsidRPr="001912B9">
          <w:rPr>
            <w:rStyle w:val="Hyperlink"/>
            <w:rFonts w:ascii="Garamond" w:hAnsi="Garamond"/>
            <w:color w:val="000000" w:themeColor="text1"/>
          </w:rPr>
          <w:t>https://www.jota.info/stf/do-supremo/quantos-gramas-separam-um-usuario-de-drogas-de-um-traficante-30052019</w:t>
        </w:r>
      </w:hyperlink>
    </w:p>
  </w:footnote>
  <w:footnote w:id="2">
    <w:p w:rsidR="001B4859" w:rsidRPr="001912B9" w:rsidRDefault="001B4859" w:rsidP="00DA3450">
      <w:pPr>
        <w:pStyle w:val="Textodenotaderodap"/>
        <w:jc w:val="both"/>
        <w:rPr>
          <w:rFonts w:ascii="Garamond" w:hAnsi="Garamond"/>
          <w:color w:val="000000" w:themeColor="text1"/>
        </w:rPr>
      </w:pPr>
      <w:r w:rsidRPr="001912B9">
        <w:rPr>
          <w:rStyle w:val="Refdenotaderodap"/>
          <w:rFonts w:ascii="Garamond" w:hAnsi="Garamond"/>
          <w:color w:val="000000" w:themeColor="text1"/>
        </w:rPr>
        <w:footnoteRef/>
      </w:r>
      <w:r w:rsidRPr="001912B9">
        <w:rPr>
          <w:rFonts w:ascii="Garamond" w:hAnsi="Garamond"/>
          <w:color w:val="000000" w:themeColor="text1"/>
        </w:rPr>
        <w:t xml:space="preserve"> </w:t>
      </w:r>
      <w:hyperlink r:id="rId2" w:history="1">
        <w:r w:rsidRPr="001912B9">
          <w:rPr>
            <w:rStyle w:val="Hyperlink"/>
            <w:rFonts w:ascii="Garamond" w:hAnsi="Garamond"/>
            <w:color w:val="000000" w:themeColor="text1"/>
          </w:rPr>
          <w:t>https://noticias.uol.com.br/internacional/ultimas-noticias/2018/10/11/no-uruguai-maconha-entre-maiores-de-55-anos-cresce-229-apos-legalizacao.htm</w:t>
        </w:r>
      </w:hyperlink>
    </w:p>
  </w:footnote>
  <w:footnote w:id="3">
    <w:p w:rsidR="001B4859" w:rsidRPr="001912B9" w:rsidRDefault="001B4859" w:rsidP="00DA3450">
      <w:pPr>
        <w:pStyle w:val="Textodenotaderodap"/>
        <w:jc w:val="both"/>
        <w:rPr>
          <w:rFonts w:ascii="Garamond" w:hAnsi="Garamond"/>
          <w:color w:val="000000" w:themeColor="text1"/>
        </w:rPr>
      </w:pPr>
      <w:r w:rsidRPr="001912B9">
        <w:rPr>
          <w:rStyle w:val="Refdenotaderodap"/>
          <w:rFonts w:ascii="Garamond" w:hAnsi="Garamond"/>
          <w:color w:val="000000" w:themeColor="text1"/>
        </w:rPr>
        <w:footnoteRef/>
      </w:r>
      <w:r w:rsidRPr="001912B9">
        <w:rPr>
          <w:rFonts w:ascii="Garamond" w:hAnsi="Garamond"/>
          <w:color w:val="000000" w:themeColor="text1"/>
        </w:rPr>
        <w:t xml:space="preserve"> </w:t>
      </w:r>
      <w:hyperlink r:id="rId3" w:history="1">
        <w:r w:rsidRPr="001912B9">
          <w:rPr>
            <w:rStyle w:val="Hyperlink"/>
            <w:rFonts w:ascii="Garamond" w:hAnsi="Garamond"/>
            <w:color w:val="000000" w:themeColor="text1"/>
          </w:rPr>
          <w:t>https://agenciabrasil.ebc.com.br/geral/noticia/2018-06/colorado-debate-aumento-de-crimes-apos-legalizacao-da-maconha</w:t>
        </w:r>
      </w:hyperlink>
    </w:p>
  </w:footnote>
  <w:footnote w:id="4">
    <w:p w:rsidR="001B4859" w:rsidRPr="001912B9" w:rsidRDefault="001B4859" w:rsidP="00DA3450">
      <w:pPr>
        <w:pStyle w:val="Textodenotaderodap"/>
        <w:jc w:val="both"/>
        <w:rPr>
          <w:rFonts w:ascii="Garamond" w:hAnsi="Garamond"/>
          <w:color w:val="000000" w:themeColor="text1"/>
        </w:rPr>
      </w:pPr>
      <w:r w:rsidRPr="001912B9">
        <w:rPr>
          <w:rStyle w:val="Refdenotaderodap"/>
          <w:rFonts w:ascii="Garamond" w:hAnsi="Garamond"/>
          <w:color w:val="000000" w:themeColor="text1"/>
        </w:rPr>
        <w:footnoteRef/>
      </w:r>
      <w:r w:rsidRPr="001912B9">
        <w:rPr>
          <w:rFonts w:ascii="Garamond" w:hAnsi="Garamond"/>
          <w:color w:val="000000" w:themeColor="text1"/>
        </w:rPr>
        <w:t xml:space="preserve"> </w:t>
      </w:r>
      <w:hyperlink r:id="rId4" w:history="1">
        <w:r w:rsidRPr="001912B9">
          <w:rPr>
            <w:rStyle w:val="Hyperlink"/>
            <w:rFonts w:ascii="Garamond" w:hAnsi="Garamond"/>
            <w:color w:val="000000" w:themeColor="text1"/>
          </w:rPr>
          <w:t>https://veja.abril.com.br/mundo/fila-cadastro-e-imposto-o-comercio-da-maconha-na-california/</w:t>
        </w:r>
      </w:hyperlink>
    </w:p>
  </w:footnote>
  <w:footnote w:id="5">
    <w:p w:rsidR="00FC4BF1" w:rsidRPr="001912B9" w:rsidRDefault="00FC4BF1" w:rsidP="00DA3450">
      <w:pPr>
        <w:pStyle w:val="Textodenotaderodap"/>
        <w:jc w:val="both"/>
        <w:rPr>
          <w:rFonts w:ascii="Garamond" w:hAnsi="Garamond"/>
          <w:color w:val="000000" w:themeColor="text1"/>
        </w:rPr>
      </w:pPr>
      <w:r w:rsidRPr="001912B9">
        <w:rPr>
          <w:rStyle w:val="Refdenotaderodap"/>
          <w:rFonts w:ascii="Garamond" w:hAnsi="Garamond"/>
          <w:color w:val="000000" w:themeColor="text1"/>
        </w:rPr>
        <w:footnoteRef/>
      </w:r>
      <w:r w:rsidRPr="001912B9">
        <w:rPr>
          <w:rFonts w:ascii="Garamond" w:hAnsi="Garamond"/>
          <w:color w:val="000000" w:themeColor="text1"/>
        </w:rPr>
        <w:t xml:space="preserve"> </w:t>
      </w:r>
      <w:hyperlink r:id="rId5" w:history="1">
        <w:r w:rsidR="0060074D" w:rsidRPr="001912B9">
          <w:rPr>
            <w:rStyle w:val="Hyperlink"/>
            <w:rFonts w:ascii="Garamond" w:hAnsi="Garamond"/>
            <w:color w:val="000000" w:themeColor="text1"/>
          </w:rPr>
          <w:t>https://g1.globo.com/mundo/noticia/2013/12/veja-como-e-legislacao-relativa-maconha-em-outros-paises.html</w:t>
        </w:r>
      </w:hyperlink>
    </w:p>
    <w:p w:rsidR="0060074D" w:rsidRDefault="0060074D">
      <w:pPr>
        <w:pStyle w:val="Textodenotaderodap"/>
      </w:pPr>
    </w:p>
  </w:footnote>
  <w:footnote w:id="6">
    <w:p w:rsidR="00262C7B" w:rsidRPr="00DA3450" w:rsidRDefault="00262C7B">
      <w:pPr>
        <w:pStyle w:val="Textodenotaderodap"/>
        <w:rPr>
          <w:rFonts w:ascii="Garamond" w:hAnsi="Garamond"/>
        </w:rPr>
      </w:pPr>
      <w:r w:rsidRPr="00DA3450">
        <w:rPr>
          <w:rStyle w:val="Refdenotaderodap"/>
          <w:rFonts w:ascii="Garamond" w:hAnsi="Garamond"/>
        </w:rPr>
        <w:footnoteRef/>
      </w:r>
      <w:r w:rsidRPr="00DA3450">
        <w:rPr>
          <w:rFonts w:ascii="Garamond" w:hAnsi="Garamond"/>
        </w:rPr>
        <w:t xml:space="preserve"> VALOIS, Luís Carlos. O direito penal da guerra às drogas. 3 </w:t>
      </w:r>
      <w:proofErr w:type="spellStart"/>
      <w:r w:rsidRPr="00DA3450">
        <w:rPr>
          <w:rFonts w:ascii="Garamond" w:hAnsi="Garamond"/>
        </w:rPr>
        <w:t>ed</w:t>
      </w:r>
      <w:proofErr w:type="spellEnd"/>
      <w:r w:rsidRPr="00DA3450">
        <w:rPr>
          <w:rFonts w:ascii="Garamond" w:hAnsi="Garamond"/>
        </w:rPr>
        <w:t>, Belo Horizonte: D´Plácido, 2019, p. 426-427.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94" w:rsidRDefault="00960E9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94" w:rsidRPr="00BF1AEB" w:rsidRDefault="00E3151E" w:rsidP="00BF1AEB">
    <w:pPr>
      <w:pStyle w:val="Cabealho"/>
    </w:pPr>
    <w:r>
      <w:rPr>
        <w:noProof/>
      </w:rPr>
      <w:drawing>
        <wp:inline distT="0" distB="0" distL="0" distR="0" wp14:anchorId="01CEEAE1" wp14:editId="7A155BAD">
          <wp:extent cx="5400040" cy="815975"/>
          <wp:effectExtent l="0" t="0" r="0" b="317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E94" w:rsidRDefault="00960E9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E41FE"/>
    <w:multiLevelType w:val="hybridMultilevel"/>
    <w:tmpl w:val="090C7250"/>
    <w:lvl w:ilvl="0" w:tplc="0778C73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4E8"/>
    <w:multiLevelType w:val="hybridMultilevel"/>
    <w:tmpl w:val="CD862F6C"/>
    <w:lvl w:ilvl="0" w:tplc="04160017">
      <w:start w:val="1"/>
      <w:numFmt w:val="lowerLetter"/>
      <w:lvlText w:val="%1)"/>
      <w:lvlJc w:val="left"/>
      <w:pPr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3900642A"/>
    <w:multiLevelType w:val="hybridMultilevel"/>
    <w:tmpl w:val="B18005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6D5A"/>
    <w:multiLevelType w:val="hybridMultilevel"/>
    <w:tmpl w:val="E80A8C62"/>
    <w:lvl w:ilvl="0" w:tplc="CA4074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41442"/>
    <w:multiLevelType w:val="hybridMultilevel"/>
    <w:tmpl w:val="7708E608"/>
    <w:lvl w:ilvl="0" w:tplc="CA4074FA">
      <w:start w:val="5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76727EA4">
      <w:start w:val="1"/>
      <w:numFmt w:val="lowerLetter"/>
      <w:lvlText w:val="%2)"/>
      <w:lvlJc w:val="left"/>
      <w:pPr>
        <w:ind w:left="1440" w:hanging="360"/>
      </w:pPr>
      <w:rPr>
        <w:rFonts w:eastAsia="Times New Roman" w:cs="Arial" w:hint="default"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10134"/>
    <w:multiLevelType w:val="hybridMultilevel"/>
    <w:tmpl w:val="0C6622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977EA"/>
    <w:multiLevelType w:val="hybridMultilevel"/>
    <w:tmpl w:val="5BEE20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EB"/>
    <w:rsid w:val="000040A7"/>
    <w:rsid w:val="00042235"/>
    <w:rsid w:val="00090EB8"/>
    <w:rsid w:val="00132BA7"/>
    <w:rsid w:val="001912B9"/>
    <w:rsid w:val="001B4859"/>
    <w:rsid w:val="001E503E"/>
    <w:rsid w:val="001E5127"/>
    <w:rsid w:val="00217536"/>
    <w:rsid w:val="00236B4D"/>
    <w:rsid w:val="00262C7B"/>
    <w:rsid w:val="002B6721"/>
    <w:rsid w:val="002E7924"/>
    <w:rsid w:val="002F2924"/>
    <w:rsid w:val="0031684A"/>
    <w:rsid w:val="00352734"/>
    <w:rsid w:val="00375C3E"/>
    <w:rsid w:val="00381B58"/>
    <w:rsid w:val="003B53D5"/>
    <w:rsid w:val="003E615B"/>
    <w:rsid w:val="003F1370"/>
    <w:rsid w:val="0040020B"/>
    <w:rsid w:val="00413296"/>
    <w:rsid w:val="00495A96"/>
    <w:rsid w:val="004C63DA"/>
    <w:rsid w:val="004F33A8"/>
    <w:rsid w:val="005364E9"/>
    <w:rsid w:val="0058469D"/>
    <w:rsid w:val="005B5F19"/>
    <w:rsid w:val="005B5F20"/>
    <w:rsid w:val="0060074D"/>
    <w:rsid w:val="006313F3"/>
    <w:rsid w:val="00677C6E"/>
    <w:rsid w:val="006C568C"/>
    <w:rsid w:val="00771D70"/>
    <w:rsid w:val="0081227A"/>
    <w:rsid w:val="0082663D"/>
    <w:rsid w:val="00856748"/>
    <w:rsid w:val="009068CC"/>
    <w:rsid w:val="009346ED"/>
    <w:rsid w:val="00935F2A"/>
    <w:rsid w:val="00960E94"/>
    <w:rsid w:val="009B390D"/>
    <w:rsid w:val="009D1734"/>
    <w:rsid w:val="00A0454D"/>
    <w:rsid w:val="00A4637B"/>
    <w:rsid w:val="00AA028A"/>
    <w:rsid w:val="00B05FBE"/>
    <w:rsid w:val="00B35E86"/>
    <w:rsid w:val="00B52ABC"/>
    <w:rsid w:val="00BA5F45"/>
    <w:rsid w:val="00BA7701"/>
    <w:rsid w:val="00BD6E0C"/>
    <w:rsid w:val="00BF1AEB"/>
    <w:rsid w:val="00C16424"/>
    <w:rsid w:val="00C52DDE"/>
    <w:rsid w:val="00CA1C7B"/>
    <w:rsid w:val="00CB537D"/>
    <w:rsid w:val="00CC4F25"/>
    <w:rsid w:val="00CD488E"/>
    <w:rsid w:val="00D244EC"/>
    <w:rsid w:val="00D26F3B"/>
    <w:rsid w:val="00D41BAD"/>
    <w:rsid w:val="00D4323B"/>
    <w:rsid w:val="00DA3450"/>
    <w:rsid w:val="00DE69CD"/>
    <w:rsid w:val="00E25C19"/>
    <w:rsid w:val="00E3151E"/>
    <w:rsid w:val="00E45321"/>
    <w:rsid w:val="00F315B2"/>
    <w:rsid w:val="00F74B0E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BFAC8-D3ED-4D3E-AB1E-BD1D0E8F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E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F1AEB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1AE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1AE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F1AEB"/>
    <w:rPr>
      <w:vertAlign w:val="superscript"/>
    </w:rPr>
  </w:style>
  <w:style w:type="character" w:styleId="Forte">
    <w:name w:val="Strong"/>
    <w:basedOn w:val="Fontepargpadro"/>
    <w:uiPriority w:val="22"/>
    <w:qFormat/>
    <w:rsid w:val="00BF1AEB"/>
    <w:rPr>
      <w:b/>
      <w:bCs/>
    </w:rPr>
  </w:style>
  <w:style w:type="paragraph" w:customStyle="1" w:styleId="Corpodetexto21">
    <w:name w:val="Corpo de texto 21"/>
    <w:basedOn w:val="Normal"/>
    <w:rsid w:val="00BF1A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EB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BF1A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BF1AEB"/>
    <w:rPr>
      <w:rFonts w:eastAsiaTheme="minorEastAsia"/>
    </w:rPr>
  </w:style>
  <w:style w:type="paragraph" w:styleId="Corpodetexto">
    <w:name w:val="Body Text"/>
    <w:basedOn w:val="Normal"/>
    <w:link w:val="CorpodetextoChar"/>
    <w:uiPriority w:val="1"/>
    <w:qFormat/>
    <w:rsid w:val="00826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3D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52DD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52DDE"/>
    <w:rPr>
      <w:rFonts w:ascii="Calibri" w:eastAsia="Calibri" w:hAnsi="Calibri" w:cs="Calibri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52DD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52DDE"/>
    <w:rPr>
      <w:color w:val="0000FF" w:themeColor="hyperlink"/>
      <w:u w:val="single"/>
    </w:rPr>
  </w:style>
  <w:style w:type="paragraph" w:styleId="Rodap">
    <w:name w:val="footer"/>
    <w:basedOn w:val="Normal"/>
    <w:link w:val="RodapChar"/>
    <w:unhideWhenUsed/>
    <w:rsid w:val="00AA028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RodapChar">
    <w:name w:val="Rodapé Char"/>
    <w:basedOn w:val="Fontepargpadro"/>
    <w:link w:val="Rodap"/>
    <w:rsid w:val="00AA028A"/>
    <w:rPr>
      <w:rFonts w:eastAsiaTheme="minorEastAsia" w:cs="Times New Roman"/>
      <w:lang w:eastAsia="pt-BR"/>
    </w:rPr>
  </w:style>
  <w:style w:type="paragraph" w:customStyle="1" w:styleId="PargrafodaLista4">
    <w:name w:val="Parágrafo da Lista4"/>
    <w:basedOn w:val="Normal"/>
    <w:next w:val="Normal"/>
    <w:rsid w:val="00AA028A"/>
    <w:pPr>
      <w:suppressAutoHyphens/>
      <w:spacing w:after="200"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04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juris.tjdft.jus.br/IndexadorAcordaos-web/sistj?visaoId=tjdf.sistj.acordaoeletronico.buscaindexada.apresentacao.VisaoBuscaAcordao&amp;controladorId=tjdf.sistj.acordaoeletronico.buscaindexada.apresentacao.ControladorBuscaAcordao&amp;visaoAnterior=tjdf.sistj.acordaoeletronico.buscaindexada.apresentacao.VisaoBuscaAcordao&amp;nomeDaPagina=resultado&amp;comando=abrirDadosDoAcordao&amp;enderecoDoServlet=sistj&amp;historicoDePaginas=buscaLivre&amp;quantidadeDeRegistros=20&amp;baseSelecionada=BASE_ACORDAOS&amp;numeroDaUltimaPagina=1&amp;buscaIndexada=1&amp;mostrarPaginaSelecaoTipoResultado=false&amp;totalHits=1&amp;internet=1&amp;numeroDoDocumento=143318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brasil.ebc.com.br/geral/noticia/2018-06/colorado-debate-aumento-de-crimes-apos-legalizacao-da-maconha" TargetMode="External"/><Relationship Id="rId2" Type="http://schemas.openxmlformats.org/officeDocument/2006/relationships/hyperlink" Target="https://noticias.uol.com.br/internacional/ultimas-noticias/2018/10/11/no-uruguai-maconha-entre-maiores-de-55-anos-cresce-229-apos-legalizacao.htm" TargetMode="External"/><Relationship Id="rId1" Type="http://schemas.openxmlformats.org/officeDocument/2006/relationships/hyperlink" Target="https://www.jota.info/stf/do-supremo/quantos-gramas-separam-um-usuario-de-drogas-de-um-traficante-30052019" TargetMode="External"/><Relationship Id="rId5" Type="http://schemas.openxmlformats.org/officeDocument/2006/relationships/hyperlink" Target="https://g1.globo.com/mundo/noticia/2013/12/veja-como-e-legislacao-relativa-maconha-em-outros-paises.html" TargetMode="External"/><Relationship Id="rId4" Type="http://schemas.openxmlformats.org/officeDocument/2006/relationships/hyperlink" Target="https://veja.abril.com.br/mundo/fila-cadastro-e-imposto-o-comercio-da-maconha-na-californi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2731-764D-433F-B611-0E82A25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1587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Conta da Microsoft</cp:lastModifiedBy>
  <cp:revision>5</cp:revision>
  <dcterms:created xsi:type="dcterms:W3CDTF">2022-09-27T08:32:00Z</dcterms:created>
  <dcterms:modified xsi:type="dcterms:W3CDTF">2022-09-27T09:43:00Z</dcterms:modified>
</cp:coreProperties>
</file>