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4110" w14:textId="28AD5AEE" w:rsidR="00472B56" w:rsidRPr="00472B56" w:rsidRDefault="00472B56" w:rsidP="00472B56">
      <w:pPr>
        <w:spacing w:after="120" w:line="293" w:lineRule="atLeast"/>
        <w:jc w:val="both"/>
        <w:rPr>
          <w:rFonts w:ascii="Times New Roman" w:eastAsia="Times New Roman" w:hAnsi="Times New Roman" w:cs="Times New Roman"/>
          <w:color w:val="000000"/>
          <w:sz w:val="20"/>
          <w:szCs w:val="20"/>
          <w:lang w:eastAsia="pt-BR"/>
        </w:rPr>
      </w:pPr>
      <w:bookmarkStart w:id="0" w:name="_Hlk63162814"/>
      <w:r w:rsidRPr="00472B56">
        <w:rPr>
          <w:rFonts w:ascii="Times New Roman" w:eastAsia="Times New Roman" w:hAnsi="Times New Roman" w:cs="Times New Roman"/>
          <w:b/>
          <w:bCs/>
          <w:caps/>
          <w:color w:val="454545"/>
          <w:sz w:val="24"/>
          <w:szCs w:val="24"/>
          <w:lang w:eastAsia="pt-BR"/>
        </w:rPr>
        <w:t xml:space="preserve">EXCELENTÍSSIMO SENHOR JUIZ DE DIREITO DA </w:t>
      </w:r>
      <w:r w:rsidR="007A5BC6" w:rsidRPr="007A5BC6">
        <w:rPr>
          <w:rFonts w:ascii="Times New Roman" w:eastAsia="Times New Roman" w:hAnsi="Times New Roman" w:cs="Times New Roman"/>
          <w:b/>
          <w:bCs/>
          <w:caps/>
          <w:color w:val="FF0000"/>
          <w:sz w:val="24"/>
          <w:szCs w:val="24"/>
          <w:lang w:eastAsia="pt-BR"/>
        </w:rPr>
        <w:t>XX</w:t>
      </w:r>
      <w:r w:rsidR="007A5BC6">
        <w:rPr>
          <w:rFonts w:ascii="Times New Roman" w:eastAsia="Times New Roman" w:hAnsi="Times New Roman" w:cs="Times New Roman"/>
          <w:b/>
          <w:bCs/>
          <w:caps/>
          <w:color w:val="454545"/>
          <w:sz w:val="24"/>
          <w:szCs w:val="24"/>
          <w:lang w:eastAsia="pt-BR"/>
        </w:rPr>
        <w:t xml:space="preserve"> </w:t>
      </w:r>
      <w:r w:rsidRPr="00472B56">
        <w:rPr>
          <w:rFonts w:ascii="Times New Roman" w:eastAsia="Times New Roman" w:hAnsi="Times New Roman" w:cs="Times New Roman"/>
          <w:b/>
          <w:bCs/>
          <w:caps/>
          <w:color w:val="454545"/>
          <w:sz w:val="24"/>
          <w:szCs w:val="24"/>
          <w:lang w:eastAsia="pt-BR"/>
        </w:rPr>
        <w:t xml:space="preserve">VARA CRIMINAL DA CIRCUNSCRIÇÃO JUDICIÁRIA DE </w:t>
      </w:r>
      <w:bookmarkEnd w:id="0"/>
      <w:r w:rsidR="007A5BC6" w:rsidRPr="007A5BC6">
        <w:rPr>
          <w:rFonts w:ascii="Times New Roman" w:eastAsia="Times New Roman" w:hAnsi="Times New Roman" w:cs="Times New Roman"/>
          <w:b/>
          <w:bCs/>
          <w:caps/>
          <w:color w:val="FF0000"/>
          <w:sz w:val="24"/>
          <w:szCs w:val="24"/>
          <w:lang w:eastAsia="pt-BR"/>
        </w:rPr>
        <w:t>XX</w:t>
      </w:r>
    </w:p>
    <w:p w14:paraId="1282D04B" w14:textId="77777777" w:rsidR="00472B56" w:rsidRPr="00472B56" w:rsidRDefault="00472B56" w:rsidP="00472B56">
      <w:pPr>
        <w:spacing w:after="120" w:line="293" w:lineRule="atLeast"/>
        <w:jc w:val="both"/>
        <w:rPr>
          <w:rFonts w:ascii="Times New Roman" w:eastAsia="Times New Roman" w:hAnsi="Times New Roman" w:cs="Times New Roman"/>
          <w:color w:val="000000"/>
          <w:sz w:val="20"/>
          <w:szCs w:val="20"/>
          <w:lang w:eastAsia="pt-BR"/>
        </w:rPr>
      </w:pPr>
      <w:r w:rsidRPr="00472B56">
        <w:rPr>
          <w:rFonts w:ascii="Times New Roman" w:eastAsia="Times New Roman" w:hAnsi="Times New Roman" w:cs="Times New Roman"/>
          <w:b/>
          <w:bCs/>
          <w:caps/>
          <w:color w:val="000000"/>
          <w:sz w:val="24"/>
          <w:szCs w:val="24"/>
          <w:lang w:eastAsia="pt-BR"/>
        </w:rPr>
        <w:t> </w:t>
      </w:r>
    </w:p>
    <w:p w14:paraId="1208EC93" w14:textId="4DD13051" w:rsidR="00446AD6" w:rsidRPr="00472B56" w:rsidRDefault="00472B56" w:rsidP="00472B56">
      <w:pPr>
        <w:spacing w:after="120" w:line="293" w:lineRule="atLeast"/>
        <w:jc w:val="both"/>
        <w:rPr>
          <w:rFonts w:ascii="Times New Roman" w:eastAsia="Times New Roman" w:hAnsi="Times New Roman" w:cs="Times New Roman"/>
          <w:color w:val="000000"/>
          <w:sz w:val="20"/>
          <w:szCs w:val="20"/>
          <w:lang w:eastAsia="pt-BR"/>
        </w:rPr>
      </w:pPr>
      <w:r w:rsidRPr="00472B56">
        <w:rPr>
          <w:rFonts w:ascii="Times New Roman" w:eastAsia="Times New Roman" w:hAnsi="Times New Roman" w:cs="Times New Roman"/>
          <w:b/>
          <w:bCs/>
          <w:caps/>
          <w:color w:val="000000"/>
          <w:sz w:val="24"/>
          <w:szCs w:val="24"/>
          <w:lang w:eastAsia="pt-BR"/>
        </w:rPr>
        <w:t> </w:t>
      </w:r>
    </w:p>
    <w:p w14:paraId="4BB1D709" w14:textId="28B34E1C" w:rsidR="00472B56" w:rsidRPr="00472B56" w:rsidRDefault="00472B56" w:rsidP="00472B56">
      <w:pPr>
        <w:spacing w:after="120" w:line="293" w:lineRule="atLeast"/>
        <w:jc w:val="both"/>
        <w:rPr>
          <w:rFonts w:ascii="Times New Roman" w:eastAsia="Times New Roman" w:hAnsi="Times New Roman" w:cs="Times New Roman"/>
          <w:color w:val="000000"/>
          <w:sz w:val="20"/>
          <w:szCs w:val="20"/>
          <w:lang w:eastAsia="pt-BR"/>
        </w:rPr>
      </w:pPr>
      <w:r w:rsidRPr="00472B56">
        <w:rPr>
          <w:rFonts w:ascii="Times New Roman" w:eastAsia="Times New Roman" w:hAnsi="Times New Roman" w:cs="Times New Roman"/>
          <w:color w:val="000000"/>
          <w:sz w:val="24"/>
          <w:szCs w:val="24"/>
          <w:lang w:eastAsia="pt-BR"/>
        </w:rPr>
        <w:t>Autos nº</w:t>
      </w:r>
      <w:r w:rsidRPr="00472B56">
        <w:rPr>
          <w:rFonts w:ascii="Times New Roman" w:eastAsia="Times New Roman" w:hAnsi="Times New Roman" w:cs="Times New Roman"/>
          <w:b/>
          <w:bCs/>
          <w:color w:val="000000"/>
          <w:sz w:val="24"/>
          <w:szCs w:val="24"/>
          <w:lang w:eastAsia="pt-BR"/>
        </w:rPr>
        <w:t> </w:t>
      </w:r>
      <w:r w:rsidR="007A5BC6" w:rsidRPr="007A5BC6">
        <w:rPr>
          <w:rFonts w:ascii="Times New Roman" w:eastAsia="Times New Roman" w:hAnsi="Times New Roman" w:cs="Times New Roman"/>
          <w:b/>
          <w:bCs/>
          <w:color w:val="FF0000"/>
          <w:sz w:val="24"/>
          <w:szCs w:val="24"/>
          <w:lang w:eastAsia="pt-BR"/>
        </w:rPr>
        <w:t>xxx</w:t>
      </w:r>
    </w:p>
    <w:p w14:paraId="00935169" w14:textId="705F3BCD" w:rsidR="00472B56" w:rsidRDefault="00472B56" w:rsidP="00472B56">
      <w:pPr>
        <w:spacing w:after="120" w:line="293" w:lineRule="atLeast"/>
        <w:jc w:val="both"/>
        <w:rPr>
          <w:rFonts w:ascii="Times New Roman" w:eastAsia="Times New Roman" w:hAnsi="Times New Roman" w:cs="Times New Roman"/>
          <w:b/>
          <w:bCs/>
          <w:color w:val="000000"/>
          <w:sz w:val="24"/>
          <w:szCs w:val="24"/>
          <w:lang w:eastAsia="pt-BR"/>
        </w:rPr>
      </w:pPr>
      <w:r w:rsidRPr="00472B56">
        <w:rPr>
          <w:rFonts w:ascii="Times New Roman" w:eastAsia="Times New Roman" w:hAnsi="Times New Roman" w:cs="Times New Roman"/>
          <w:b/>
          <w:bCs/>
          <w:color w:val="000000"/>
          <w:sz w:val="24"/>
          <w:szCs w:val="24"/>
          <w:lang w:eastAsia="pt-BR"/>
        </w:rPr>
        <w:t> </w:t>
      </w:r>
    </w:p>
    <w:p w14:paraId="7057F669" w14:textId="77777777" w:rsidR="00446AD6" w:rsidRDefault="00446AD6" w:rsidP="00472B56">
      <w:pPr>
        <w:spacing w:after="120" w:line="293" w:lineRule="atLeast"/>
        <w:jc w:val="both"/>
        <w:rPr>
          <w:rFonts w:ascii="Times New Roman" w:eastAsia="Times New Roman" w:hAnsi="Times New Roman" w:cs="Times New Roman"/>
          <w:b/>
          <w:bCs/>
          <w:color w:val="000000"/>
          <w:sz w:val="24"/>
          <w:szCs w:val="24"/>
          <w:lang w:eastAsia="pt-BR"/>
        </w:rPr>
      </w:pPr>
    </w:p>
    <w:p w14:paraId="2EA6D428" w14:textId="4BA14AD4" w:rsidR="00472B56" w:rsidRPr="00472B56" w:rsidRDefault="007A5BC6" w:rsidP="00893AEB">
      <w:pPr>
        <w:spacing w:after="0" w:line="360" w:lineRule="auto"/>
        <w:ind w:firstLine="709"/>
        <w:jc w:val="both"/>
        <w:rPr>
          <w:rFonts w:ascii="Times New Roman" w:eastAsia="Times New Roman" w:hAnsi="Times New Roman" w:cs="Times New Roman"/>
          <w:color w:val="000000"/>
          <w:sz w:val="20"/>
          <w:szCs w:val="20"/>
          <w:lang w:eastAsia="pt-BR"/>
        </w:rPr>
      </w:pPr>
      <w:r w:rsidRPr="007A5BC6">
        <w:rPr>
          <w:rFonts w:ascii="Times New Roman" w:eastAsia="Times New Roman" w:hAnsi="Times New Roman" w:cs="Times New Roman"/>
          <w:b/>
          <w:bCs/>
          <w:color w:val="FF0000"/>
          <w:sz w:val="24"/>
          <w:szCs w:val="24"/>
          <w:lang w:eastAsia="pt-BR"/>
        </w:rPr>
        <w:t>NOME</w:t>
      </w:r>
      <w:r w:rsidR="00472B56" w:rsidRPr="00472B56">
        <w:rPr>
          <w:rFonts w:ascii="Times New Roman" w:eastAsia="Times New Roman" w:hAnsi="Times New Roman" w:cs="Times New Roman"/>
          <w:color w:val="000000"/>
          <w:sz w:val="24"/>
          <w:szCs w:val="24"/>
          <w:lang w:eastAsia="pt-BR"/>
        </w:rPr>
        <w:t>, devidamente qualificado nos autos em epígrafe, v</w:t>
      </w:r>
      <w:r w:rsidR="00C85B17">
        <w:rPr>
          <w:rFonts w:ascii="Times New Roman" w:eastAsia="Times New Roman" w:hAnsi="Times New Roman" w:cs="Times New Roman"/>
          <w:color w:val="000000"/>
          <w:sz w:val="24"/>
          <w:szCs w:val="24"/>
          <w:lang w:eastAsia="pt-BR"/>
        </w:rPr>
        <w:t>ê</w:t>
      </w:r>
      <w:r w:rsidR="00472B56" w:rsidRPr="00472B56">
        <w:rPr>
          <w:rFonts w:ascii="Times New Roman" w:eastAsia="Times New Roman" w:hAnsi="Times New Roman" w:cs="Times New Roman"/>
          <w:color w:val="000000"/>
          <w:sz w:val="24"/>
          <w:szCs w:val="24"/>
          <w:lang w:eastAsia="pt-BR"/>
        </w:rPr>
        <w:t>m, perante Vossa Excelência, sob o patrocínio da DEFENSORIA PÚBLICA DO DISTRITO FEDERAL,</w:t>
      </w:r>
      <w:r w:rsidR="00893AEB">
        <w:rPr>
          <w:rFonts w:ascii="Times New Roman" w:eastAsia="Times New Roman" w:hAnsi="Times New Roman" w:cs="Times New Roman"/>
          <w:color w:val="000000"/>
          <w:sz w:val="24"/>
          <w:szCs w:val="24"/>
          <w:lang w:eastAsia="pt-BR"/>
        </w:rPr>
        <w:t xml:space="preserve"> nos termos do art. 403, § 3º, do CPP,</w:t>
      </w:r>
      <w:r w:rsidR="00472B56" w:rsidRPr="00472B56">
        <w:rPr>
          <w:rFonts w:ascii="Times New Roman" w:eastAsia="Times New Roman" w:hAnsi="Times New Roman" w:cs="Times New Roman"/>
          <w:color w:val="000000"/>
          <w:sz w:val="24"/>
          <w:szCs w:val="24"/>
          <w:lang w:eastAsia="pt-BR"/>
        </w:rPr>
        <w:t xml:space="preserve"> apresentar</w:t>
      </w:r>
    </w:p>
    <w:p w14:paraId="2F75DB0D" w14:textId="03B66772" w:rsidR="00893AEB" w:rsidRPr="00472B56" w:rsidRDefault="00472B56" w:rsidP="00893AEB">
      <w:pPr>
        <w:spacing w:after="0" w:line="360" w:lineRule="auto"/>
        <w:ind w:firstLine="709"/>
        <w:jc w:val="both"/>
        <w:rPr>
          <w:rFonts w:ascii="Times New Roman" w:eastAsia="Times New Roman" w:hAnsi="Times New Roman" w:cs="Times New Roman"/>
          <w:color w:val="000000"/>
          <w:sz w:val="20"/>
          <w:szCs w:val="20"/>
          <w:lang w:eastAsia="pt-BR"/>
        </w:rPr>
      </w:pPr>
      <w:r w:rsidRPr="00472B56">
        <w:rPr>
          <w:rFonts w:ascii="Times New Roman" w:eastAsia="Times New Roman" w:hAnsi="Times New Roman" w:cs="Times New Roman"/>
          <w:color w:val="000000"/>
          <w:sz w:val="24"/>
          <w:szCs w:val="24"/>
          <w:lang w:eastAsia="pt-BR"/>
        </w:rPr>
        <w:t> </w:t>
      </w:r>
    </w:p>
    <w:p w14:paraId="30457692" w14:textId="0B25D9C3" w:rsidR="00472B56" w:rsidRPr="00472B56" w:rsidRDefault="00893AEB" w:rsidP="009B5B8E">
      <w:pPr>
        <w:shd w:val="clear" w:color="auto" w:fill="C5E0B3" w:themeFill="accent6" w:themeFillTint="66"/>
        <w:spacing w:after="0" w:line="360" w:lineRule="auto"/>
        <w:contextualSpacing/>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b/>
          <w:bCs/>
          <w:color w:val="000000"/>
          <w:sz w:val="24"/>
          <w:szCs w:val="24"/>
          <w:lang w:eastAsia="pt-BR"/>
        </w:rPr>
        <w:t>ALEGAÇÕES FINAIS POR MEMORIAIS</w:t>
      </w:r>
    </w:p>
    <w:p w14:paraId="261A1776" w14:textId="57615E8F" w:rsidR="001965F7" w:rsidRDefault="00472B56" w:rsidP="00893AEB">
      <w:pPr>
        <w:spacing w:after="0" w:line="360" w:lineRule="auto"/>
        <w:ind w:firstLine="709"/>
        <w:jc w:val="both"/>
        <w:rPr>
          <w:rFonts w:ascii="Times New Roman" w:eastAsia="Times New Roman" w:hAnsi="Times New Roman" w:cs="Times New Roman"/>
          <w:color w:val="000000"/>
          <w:sz w:val="24"/>
          <w:szCs w:val="24"/>
          <w:lang w:eastAsia="pt-BR"/>
        </w:rPr>
      </w:pPr>
      <w:r w:rsidRPr="00472B56">
        <w:rPr>
          <w:rFonts w:ascii="Times New Roman" w:eastAsia="Times New Roman" w:hAnsi="Times New Roman" w:cs="Times New Roman"/>
          <w:color w:val="000000"/>
          <w:sz w:val="24"/>
          <w:szCs w:val="24"/>
          <w:lang w:eastAsia="pt-BR"/>
        </w:rPr>
        <w:t> </w:t>
      </w:r>
    </w:p>
    <w:p w14:paraId="56EA6317" w14:textId="5848BA40" w:rsidR="00472B56" w:rsidRPr="00472B56" w:rsidRDefault="00893AEB" w:rsidP="00893AEB">
      <w:pPr>
        <w:spacing w:after="0" w:line="360" w:lineRule="auto"/>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4"/>
          <w:szCs w:val="24"/>
          <w:lang w:eastAsia="pt-BR"/>
        </w:rPr>
        <w:t>pelos fundamentos de fato e de direito a seguir expostos</w:t>
      </w:r>
      <w:r w:rsidR="00472B56" w:rsidRPr="00472B56">
        <w:rPr>
          <w:rFonts w:ascii="Times New Roman" w:eastAsia="Times New Roman" w:hAnsi="Times New Roman" w:cs="Times New Roman"/>
          <w:color w:val="000000"/>
          <w:sz w:val="24"/>
          <w:szCs w:val="24"/>
          <w:lang w:eastAsia="pt-BR"/>
        </w:rPr>
        <w:t>.</w:t>
      </w:r>
    </w:p>
    <w:p w14:paraId="7BAA3AAE" w14:textId="07AB2402" w:rsidR="007E7246" w:rsidRDefault="007E7246" w:rsidP="00893AEB">
      <w:pPr>
        <w:spacing w:after="0" w:line="360" w:lineRule="auto"/>
        <w:ind w:firstLine="709"/>
        <w:jc w:val="both"/>
        <w:rPr>
          <w:rFonts w:ascii="Times New Roman" w:eastAsia="Times New Roman" w:hAnsi="Times New Roman" w:cs="Times New Roman"/>
          <w:color w:val="000000"/>
          <w:sz w:val="24"/>
          <w:szCs w:val="24"/>
          <w:lang w:eastAsia="pt-BR"/>
        </w:rPr>
      </w:pPr>
    </w:p>
    <w:p w14:paraId="4B911EEB" w14:textId="77777777" w:rsidR="0048588B" w:rsidRDefault="0048588B" w:rsidP="00893AEB">
      <w:pPr>
        <w:spacing w:after="0" w:line="360" w:lineRule="auto"/>
        <w:ind w:firstLine="709"/>
        <w:jc w:val="both"/>
        <w:rPr>
          <w:rFonts w:ascii="Times New Roman" w:eastAsia="Times New Roman" w:hAnsi="Times New Roman" w:cs="Times New Roman"/>
          <w:color w:val="000000"/>
          <w:sz w:val="24"/>
          <w:szCs w:val="24"/>
          <w:lang w:eastAsia="pt-BR"/>
        </w:rPr>
      </w:pPr>
    </w:p>
    <w:p w14:paraId="0A1D6747" w14:textId="3D566B3E" w:rsidR="005C2F0C" w:rsidRPr="00893AEB" w:rsidRDefault="00893AEB" w:rsidP="009B5B8E">
      <w:pPr>
        <w:pStyle w:val="PargrafodaLista"/>
        <w:numPr>
          <w:ilvl w:val="0"/>
          <w:numId w:val="2"/>
        </w:numPr>
        <w:shd w:val="clear" w:color="auto" w:fill="C5E0B3" w:themeFill="accent6" w:themeFillTint="66"/>
        <w:spacing w:after="0" w:line="360" w:lineRule="auto"/>
        <w:ind w:left="0" w:firstLine="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DOS FATOS</w:t>
      </w:r>
    </w:p>
    <w:p w14:paraId="541245E8" w14:textId="77777777" w:rsidR="005C2F0C" w:rsidRDefault="005C2F0C" w:rsidP="009B5B8E">
      <w:pPr>
        <w:spacing w:after="0" w:line="293" w:lineRule="atLeast"/>
        <w:ind w:firstLine="709"/>
        <w:jc w:val="both"/>
        <w:rPr>
          <w:rFonts w:ascii="Times New Roman" w:eastAsia="Times New Roman" w:hAnsi="Times New Roman" w:cs="Times New Roman"/>
          <w:color w:val="000000"/>
          <w:sz w:val="24"/>
          <w:szCs w:val="24"/>
          <w:lang w:eastAsia="pt-BR"/>
        </w:rPr>
      </w:pPr>
    </w:p>
    <w:p w14:paraId="78A288F0" w14:textId="554D3D14" w:rsidR="005C2F0C" w:rsidRDefault="001C1D4E" w:rsidP="002A2EC5">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Trata-se de denúncia oferecida pelo Ministério Público do Distrito Federal e Territórios (MPDFT) imputando ao acusado a prática do crime previsto</w:t>
      </w:r>
      <w:r w:rsidR="00E32F70">
        <w:rPr>
          <w:rFonts w:ascii="Times New Roman" w:eastAsia="Times New Roman" w:hAnsi="Times New Roman" w:cs="Times New Roman"/>
          <w:color w:val="000000"/>
          <w:sz w:val="24"/>
          <w:szCs w:val="24"/>
          <w:lang w:eastAsia="pt-BR"/>
        </w:rPr>
        <w:t xml:space="preserve"> no</w:t>
      </w:r>
      <w:r>
        <w:rPr>
          <w:rFonts w:ascii="Times New Roman" w:eastAsia="Times New Roman" w:hAnsi="Times New Roman" w:cs="Times New Roman"/>
          <w:color w:val="000000"/>
          <w:sz w:val="24"/>
          <w:szCs w:val="24"/>
          <w:lang w:eastAsia="pt-BR"/>
        </w:rPr>
        <w:t xml:space="preserve"> </w:t>
      </w:r>
      <w:r w:rsidR="00EC0AE9" w:rsidRPr="007A5BC6">
        <w:rPr>
          <w:rFonts w:ascii="Times New Roman" w:eastAsia="Times New Roman" w:hAnsi="Times New Roman" w:cs="Times New Roman"/>
          <w:color w:val="FF0000"/>
          <w:sz w:val="24"/>
          <w:szCs w:val="24"/>
          <w:lang w:eastAsia="pt-BR"/>
        </w:rPr>
        <w:t>artigo 157, § 2º, inciso</w:t>
      </w:r>
      <w:r w:rsidR="00CF182D" w:rsidRPr="007A5BC6">
        <w:rPr>
          <w:rFonts w:ascii="Times New Roman" w:eastAsia="Times New Roman" w:hAnsi="Times New Roman" w:cs="Times New Roman"/>
          <w:color w:val="FF0000"/>
          <w:sz w:val="24"/>
          <w:szCs w:val="24"/>
          <w:lang w:eastAsia="pt-BR"/>
        </w:rPr>
        <w:t>s I e</w:t>
      </w:r>
      <w:r w:rsidR="00EC0AE9" w:rsidRPr="007A5BC6">
        <w:rPr>
          <w:rFonts w:ascii="Times New Roman" w:eastAsia="Times New Roman" w:hAnsi="Times New Roman" w:cs="Times New Roman"/>
          <w:color w:val="FF0000"/>
          <w:sz w:val="24"/>
          <w:szCs w:val="24"/>
          <w:lang w:eastAsia="pt-BR"/>
        </w:rPr>
        <w:t xml:space="preserve"> II, do Código Penal, ou seja, </w:t>
      </w:r>
      <w:r w:rsidR="00CF182D" w:rsidRPr="007A5BC6">
        <w:rPr>
          <w:rFonts w:ascii="Times New Roman" w:eastAsia="Times New Roman" w:hAnsi="Times New Roman" w:cs="Times New Roman"/>
          <w:color w:val="FF0000"/>
          <w:sz w:val="24"/>
          <w:szCs w:val="24"/>
          <w:lang w:eastAsia="pt-BR"/>
        </w:rPr>
        <w:t>r</w:t>
      </w:r>
      <w:r w:rsidR="00EC0AE9" w:rsidRPr="007A5BC6">
        <w:rPr>
          <w:rFonts w:ascii="Times New Roman" w:eastAsia="Times New Roman" w:hAnsi="Times New Roman" w:cs="Times New Roman"/>
          <w:color w:val="FF0000"/>
          <w:sz w:val="24"/>
          <w:szCs w:val="24"/>
          <w:lang w:eastAsia="pt-BR"/>
        </w:rPr>
        <w:t>oubo majorado pelo</w:t>
      </w:r>
      <w:r w:rsidR="00CF182D" w:rsidRPr="007A5BC6">
        <w:rPr>
          <w:rFonts w:ascii="Times New Roman" w:eastAsia="Times New Roman" w:hAnsi="Times New Roman" w:cs="Times New Roman"/>
          <w:color w:val="FF0000"/>
          <w:sz w:val="24"/>
          <w:szCs w:val="24"/>
          <w:lang w:eastAsia="pt-BR"/>
        </w:rPr>
        <w:t xml:space="preserve"> emprego de arma e pelo concurso de pessoas</w:t>
      </w:r>
      <w:r w:rsidR="00CF182D">
        <w:rPr>
          <w:rFonts w:ascii="Times New Roman" w:eastAsia="Times New Roman" w:hAnsi="Times New Roman" w:cs="Times New Roman"/>
          <w:color w:val="000000"/>
          <w:sz w:val="24"/>
          <w:szCs w:val="24"/>
          <w:lang w:eastAsia="pt-BR"/>
        </w:rPr>
        <w:t>.</w:t>
      </w:r>
    </w:p>
    <w:p w14:paraId="3F96C227" w14:textId="77777777" w:rsidR="001C1D4E" w:rsidRDefault="001C1D4E"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51D08FA9" w14:textId="2E26C000" w:rsidR="00C21C81" w:rsidRDefault="001C1D4E" w:rsidP="00CF182D">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Narra a denúncia (ID</w:t>
      </w:r>
      <w:r w:rsidR="007A5BC6">
        <w:rPr>
          <w:rFonts w:ascii="Times New Roman" w:eastAsia="Times New Roman" w:hAnsi="Times New Roman" w:cs="Times New Roman"/>
          <w:color w:val="000000"/>
          <w:sz w:val="24"/>
          <w:szCs w:val="24"/>
          <w:lang w:eastAsia="pt-BR"/>
        </w:rPr>
        <w:t xml:space="preserve"> </w:t>
      </w:r>
      <w:r w:rsidR="007A5BC6" w:rsidRPr="007A5BC6">
        <w:rPr>
          <w:rFonts w:ascii="Times New Roman" w:eastAsia="Times New Roman" w:hAnsi="Times New Roman" w:cs="Times New Roman"/>
          <w:color w:val="FF0000"/>
          <w:sz w:val="24"/>
          <w:szCs w:val="24"/>
          <w:lang w:eastAsia="pt-BR"/>
        </w:rPr>
        <w:t>XX</w:t>
      </w:r>
      <w:r>
        <w:rPr>
          <w:rFonts w:ascii="Times New Roman" w:eastAsia="Times New Roman" w:hAnsi="Times New Roman" w:cs="Times New Roman"/>
          <w:color w:val="000000"/>
          <w:sz w:val="24"/>
          <w:szCs w:val="24"/>
          <w:lang w:eastAsia="pt-BR"/>
        </w:rPr>
        <w:t>) que</w:t>
      </w:r>
      <w:r w:rsidR="00C5330F">
        <w:rPr>
          <w:rFonts w:ascii="Times New Roman" w:eastAsia="Times New Roman" w:hAnsi="Times New Roman" w:cs="Times New Roman"/>
          <w:color w:val="000000"/>
          <w:sz w:val="24"/>
          <w:szCs w:val="24"/>
          <w:lang w:eastAsia="pt-BR"/>
        </w:rPr>
        <w:t xml:space="preserve">, </w:t>
      </w:r>
      <w:r w:rsidR="007A5BC6" w:rsidRPr="007A5BC6">
        <w:rPr>
          <w:rFonts w:ascii="Times New Roman" w:eastAsia="Times New Roman" w:hAnsi="Times New Roman" w:cs="Times New Roman"/>
          <w:color w:val="FF0000"/>
          <w:sz w:val="24"/>
          <w:szCs w:val="24"/>
          <w:lang w:eastAsia="pt-BR"/>
        </w:rPr>
        <w:t>XXXXXXXXXXXXXXXXXXXXXXXXXXX</w:t>
      </w:r>
      <w:r w:rsidR="007A5BC6">
        <w:rPr>
          <w:rFonts w:ascii="Times New Roman" w:eastAsia="Times New Roman" w:hAnsi="Times New Roman" w:cs="Times New Roman"/>
          <w:color w:val="000000"/>
          <w:sz w:val="24"/>
          <w:szCs w:val="24"/>
          <w:lang w:eastAsia="pt-BR"/>
        </w:rPr>
        <w:t>.</w:t>
      </w:r>
    </w:p>
    <w:p w14:paraId="379BC959" w14:textId="77777777" w:rsidR="00C21C81" w:rsidRDefault="00C21C81" w:rsidP="00352847">
      <w:pPr>
        <w:spacing w:after="0" w:line="360" w:lineRule="auto"/>
        <w:jc w:val="both"/>
        <w:rPr>
          <w:rFonts w:ascii="Times New Roman" w:eastAsia="Times New Roman" w:hAnsi="Times New Roman" w:cs="Times New Roman"/>
          <w:color w:val="000000"/>
          <w:sz w:val="24"/>
          <w:szCs w:val="24"/>
          <w:lang w:eastAsia="pt-BR"/>
        </w:rPr>
      </w:pPr>
    </w:p>
    <w:p w14:paraId="12FD445F" w14:textId="0B963C0A" w:rsidR="005E2445" w:rsidRDefault="00CF0806" w:rsidP="0083595D">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w:t>
      </w:r>
      <w:r w:rsidR="007A5BC6">
        <w:rPr>
          <w:rFonts w:ascii="Times New Roman" w:eastAsia="Times New Roman" w:hAnsi="Times New Roman" w:cs="Times New Roman"/>
          <w:color w:val="000000"/>
          <w:sz w:val="24"/>
          <w:szCs w:val="24"/>
          <w:lang w:eastAsia="pt-BR"/>
        </w:rPr>
        <w:t>denúncia</w:t>
      </w:r>
      <w:r>
        <w:rPr>
          <w:rFonts w:ascii="Times New Roman" w:eastAsia="Times New Roman" w:hAnsi="Times New Roman" w:cs="Times New Roman"/>
          <w:color w:val="000000"/>
          <w:sz w:val="24"/>
          <w:szCs w:val="24"/>
          <w:lang w:eastAsia="pt-BR"/>
        </w:rPr>
        <w:t xml:space="preserve"> foi </w:t>
      </w:r>
      <w:r w:rsidR="0083595D">
        <w:rPr>
          <w:rFonts w:ascii="Times New Roman" w:eastAsia="Times New Roman" w:hAnsi="Times New Roman" w:cs="Times New Roman"/>
          <w:color w:val="000000"/>
          <w:sz w:val="24"/>
          <w:szCs w:val="24"/>
          <w:lang w:eastAsia="pt-BR"/>
        </w:rPr>
        <w:t>r</w:t>
      </w:r>
      <w:r w:rsidR="005E25A1">
        <w:rPr>
          <w:rFonts w:ascii="Times New Roman" w:eastAsia="Times New Roman" w:hAnsi="Times New Roman" w:cs="Times New Roman"/>
          <w:color w:val="000000"/>
          <w:sz w:val="24"/>
          <w:szCs w:val="24"/>
          <w:lang w:eastAsia="pt-BR"/>
        </w:rPr>
        <w:t xml:space="preserve">ecebida em </w:t>
      </w:r>
      <w:r w:rsidR="007A5BC6" w:rsidRPr="007A5BC6">
        <w:rPr>
          <w:rFonts w:ascii="Times New Roman" w:eastAsia="Times New Roman" w:hAnsi="Times New Roman" w:cs="Times New Roman"/>
          <w:color w:val="FF0000"/>
          <w:sz w:val="24"/>
          <w:szCs w:val="24"/>
          <w:lang w:eastAsia="pt-BR"/>
        </w:rPr>
        <w:t>00/00/0000</w:t>
      </w:r>
      <w:r w:rsidR="005E25A1" w:rsidRPr="007A5BC6">
        <w:rPr>
          <w:rFonts w:ascii="Times New Roman" w:eastAsia="Times New Roman" w:hAnsi="Times New Roman" w:cs="Times New Roman"/>
          <w:color w:val="FF0000"/>
          <w:sz w:val="24"/>
          <w:szCs w:val="24"/>
          <w:lang w:eastAsia="pt-BR"/>
        </w:rPr>
        <w:t xml:space="preserve"> </w:t>
      </w:r>
      <w:r w:rsidR="005E25A1">
        <w:rPr>
          <w:rFonts w:ascii="Times New Roman" w:eastAsia="Times New Roman" w:hAnsi="Times New Roman" w:cs="Times New Roman"/>
          <w:color w:val="000000"/>
          <w:sz w:val="24"/>
          <w:szCs w:val="24"/>
          <w:lang w:eastAsia="pt-BR"/>
        </w:rPr>
        <w:t xml:space="preserve">(ID </w:t>
      </w:r>
      <w:r w:rsidR="007A5BC6" w:rsidRPr="007A5BC6">
        <w:rPr>
          <w:rFonts w:ascii="Times New Roman" w:eastAsia="Times New Roman" w:hAnsi="Times New Roman" w:cs="Times New Roman"/>
          <w:color w:val="FF0000"/>
          <w:sz w:val="24"/>
          <w:szCs w:val="24"/>
          <w:lang w:eastAsia="pt-BR"/>
        </w:rPr>
        <w:t>XX</w:t>
      </w:r>
      <w:r w:rsidR="005E25A1">
        <w:rPr>
          <w:rFonts w:ascii="Times New Roman" w:eastAsia="Times New Roman" w:hAnsi="Times New Roman" w:cs="Times New Roman"/>
          <w:color w:val="000000"/>
          <w:sz w:val="24"/>
          <w:szCs w:val="24"/>
          <w:lang w:eastAsia="pt-BR"/>
        </w:rPr>
        <w:t>).</w:t>
      </w:r>
      <w:r w:rsidR="001A3542">
        <w:rPr>
          <w:rFonts w:ascii="Times New Roman" w:eastAsia="Times New Roman" w:hAnsi="Times New Roman" w:cs="Times New Roman"/>
          <w:color w:val="000000"/>
          <w:sz w:val="24"/>
          <w:szCs w:val="24"/>
          <w:lang w:eastAsia="pt-BR"/>
        </w:rPr>
        <w:t xml:space="preserve"> </w:t>
      </w:r>
      <w:r w:rsidR="00C5330F">
        <w:rPr>
          <w:rFonts w:ascii="Times New Roman" w:eastAsia="Times New Roman" w:hAnsi="Times New Roman" w:cs="Times New Roman"/>
          <w:color w:val="000000"/>
          <w:sz w:val="24"/>
          <w:szCs w:val="24"/>
          <w:lang w:eastAsia="pt-BR"/>
        </w:rPr>
        <w:t>O réu foi citado</w:t>
      </w:r>
      <w:r w:rsidR="00D376FB">
        <w:rPr>
          <w:rFonts w:ascii="Times New Roman" w:eastAsia="Times New Roman" w:hAnsi="Times New Roman" w:cs="Times New Roman"/>
          <w:color w:val="000000"/>
          <w:sz w:val="24"/>
          <w:szCs w:val="24"/>
          <w:lang w:eastAsia="pt-BR"/>
        </w:rPr>
        <w:t xml:space="preserve"> </w:t>
      </w:r>
      <w:r w:rsidR="007A5BC6">
        <w:rPr>
          <w:rFonts w:ascii="Times New Roman" w:eastAsia="Times New Roman" w:hAnsi="Times New Roman" w:cs="Times New Roman"/>
          <w:color w:val="000000"/>
          <w:sz w:val="24"/>
          <w:szCs w:val="24"/>
          <w:lang w:eastAsia="pt-BR"/>
        </w:rPr>
        <w:t>e a</w:t>
      </w:r>
      <w:r w:rsidR="00D376FB">
        <w:rPr>
          <w:rFonts w:ascii="Times New Roman" w:eastAsia="Times New Roman" w:hAnsi="Times New Roman" w:cs="Times New Roman"/>
          <w:color w:val="000000"/>
          <w:sz w:val="24"/>
          <w:szCs w:val="24"/>
          <w:lang w:eastAsia="pt-BR"/>
        </w:rPr>
        <w:t xml:space="preserve"> resposta à acusação foi apresentada</w:t>
      </w:r>
      <w:r w:rsidR="004D0451">
        <w:rPr>
          <w:rFonts w:ascii="Times New Roman" w:eastAsia="Times New Roman" w:hAnsi="Times New Roman" w:cs="Times New Roman"/>
          <w:color w:val="000000"/>
          <w:sz w:val="24"/>
          <w:szCs w:val="24"/>
          <w:lang w:eastAsia="pt-BR"/>
        </w:rPr>
        <w:t xml:space="preserve"> </w:t>
      </w:r>
      <w:r w:rsidR="00352847">
        <w:rPr>
          <w:rFonts w:ascii="Times New Roman" w:eastAsia="Times New Roman" w:hAnsi="Times New Roman" w:cs="Times New Roman"/>
          <w:color w:val="000000"/>
          <w:sz w:val="24"/>
          <w:szCs w:val="24"/>
          <w:lang w:eastAsia="pt-BR"/>
        </w:rPr>
        <w:t>pela Defensoria Pública</w:t>
      </w:r>
      <w:r w:rsidR="00D376FB">
        <w:rPr>
          <w:rFonts w:ascii="Times New Roman" w:eastAsia="Times New Roman" w:hAnsi="Times New Roman" w:cs="Times New Roman"/>
          <w:color w:val="000000"/>
          <w:sz w:val="24"/>
          <w:szCs w:val="24"/>
          <w:lang w:eastAsia="pt-BR"/>
        </w:rPr>
        <w:t xml:space="preserve"> (ID </w:t>
      </w:r>
      <w:r w:rsidR="007A5BC6" w:rsidRPr="007A5BC6">
        <w:rPr>
          <w:rFonts w:ascii="Times New Roman" w:eastAsia="Times New Roman" w:hAnsi="Times New Roman" w:cs="Times New Roman"/>
          <w:color w:val="FF0000"/>
          <w:sz w:val="24"/>
          <w:szCs w:val="24"/>
          <w:lang w:eastAsia="pt-BR"/>
        </w:rPr>
        <w:t>XX</w:t>
      </w:r>
      <w:r w:rsidR="00D376FB">
        <w:rPr>
          <w:rFonts w:ascii="Times New Roman" w:eastAsia="Times New Roman" w:hAnsi="Times New Roman" w:cs="Times New Roman"/>
          <w:color w:val="000000"/>
          <w:sz w:val="24"/>
          <w:szCs w:val="24"/>
          <w:lang w:eastAsia="pt-BR"/>
        </w:rPr>
        <w:t>).</w:t>
      </w:r>
    </w:p>
    <w:p w14:paraId="47F3F268" w14:textId="74A76381" w:rsidR="00A816DF" w:rsidRDefault="00A816DF" w:rsidP="004A1425">
      <w:pPr>
        <w:spacing w:after="0" w:line="360" w:lineRule="auto"/>
        <w:ind w:firstLine="709"/>
        <w:jc w:val="both"/>
        <w:rPr>
          <w:rFonts w:ascii="Times New Roman" w:eastAsia="Times New Roman" w:hAnsi="Times New Roman" w:cs="Times New Roman"/>
          <w:color w:val="000000"/>
          <w:sz w:val="24"/>
          <w:szCs w:val="24"/>
          <w:lang w:eastAsia="pt-BR"/>
        </w:rPr>
      </w:pPr>
    </w:p>
    <w:p w14:paraId="391117D2" w14:textId="5BBD2FA9" w:rsidR="00E36A31" w:rsidRDefault="009F39AC" w:rsidP="0048588B">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Em </w:t>
      </w:r>
      <w:r w:rsidR="007A5BC6" w:rsidRPr="007A5BC6">
        <w:rPr>
          <w:rFonts w:ascii="Times New Roman" w:eastAsia="Times New Roman" w:hAnsi="Times New Roman" w:cs="Times New Roman"/>
          <w:color w:val="FF0000"/>
          <w:sz w:val="24"/>
          <w:szCs w:val="24"/>
          <w:lang w:eastAsia="pt-BR"/>
        </w:rPr>
        <w:t>00/00/0000</w:t>
      </w:r>
      <w:r w:rsidR="00BA73C1">
        <w:rPr>
          <w:rFonts w:ascii="Times New Roman" w:eastAsia="Times New Roman" w:hAnsi="Times New Roman" w:cs="Times New Roman"/>
          <w:color w:val="000000"/>
          <w:sz w:val="24"/>
          <w:szCs w:val="24"/>
          <w:lang w:eastAsia="pt-BR"/>
        </w:rPr>
        <w:t>, foi realizada audiência de instrução e julgamento (</w:t>
      </w:r>
      <w:r w:rsidR="007A5BC6">
        <w:rPr>
          <w:rFonts w:ascii="Times New Roman" w:eastAsia="Times New Roman" w:hAnsi="Times New Roman" w:cs="Times New Roman"/>
          <w:color w:val="000000"/>
          <w:sz w:val="24"/>
          <w:szCs w:val="24"/>
          <w:lang w:eastAsia="pt-BR"/>
        </w:rPr>
        <w:t xml:space="preserve">ata de </w:t>
      </w:r>
      <w:r w:rsidR="00BA73C1">
        <w:rPr>
          <w:rFonts w:ascii="Times New Roman" w:eastAsia="Times New Roman" w:hAnsi="Times New Roman" w:cs="Times New Roman"/>
          <w:color w:val="000000"/>
          <w:sz w:val="24"/>
          <w:szCs w:val="24"/>
          <w:lang w:eastAsia="pt-BR"/>
        </w:rPr>
        <w:t xml:space="preserve">ID </w:t>
      </w:r>
      <w:r w:rsidR="007A5BC6" w:rsidRPr="007A5BC6">
        <w:rPr>
          <w:rFonts w:ascii="Times New Roman" w:eastAsia="Times New Roman" w:hAnsi="Times New Roman" w:cs="Times New Roman"/>
          <w:color w:val="FF0000"/>
          <w:sz w:val="24"/>
          <w:szCs w:val="24"/>
          <w:lang w:eastAsia="pt-BR"/>
        </w:rPr>
        <w:t>XX</w:t>
      </w:r>
      <w:r w:rsidR="00352847">
        <w:rPr>
          <w:rFonts w:ascii="Times New Roman" w:eastAsia="Times New Roman" w:hAnsi="Times New Roman" w:cs="Times New Roman"/>
          <w:color w:val="000000"/>
          <w:sz w:val="24"/>
          <w:szCs w:val="24"/>
          <w:lang w:eastAsia="pt-BR"/>
        </w:rPr>
        <w:t>)</w:t>
      </w:r>
      <w:r w:rsidR="00BA73C1">
        <w:rPr>
          <w:rFonts w:ascii="Times New Roman" w:eastAsia="Times New Roman" w:hAnsi="Times New Roman" w:cs="Times New Roman"/>
          <w:color w:val="000000"/>
          <w:sz w:val="24"/>
          <w:szCs w:val="24"/>
          <w:lang w:eastAsia="pt-BR"/>
        </w:rPr>
        <w:t xml:space="preserve">. </w:t>
      </w:r>
      <w:r w:rsidR="00CE73E7">
        <w:rPr>
          <w:rFonts w:ascii="Times New Roman" w:eastAsia="Times New Roman" w:hAnsi="Times New Roman" w:cs="Times New Roman"/>
          <w:color w:val="000000"/>
          <w:sz w:val="24"/>
          <w:szCs w:val="24"/>
          <w:lang w:eastAsia="pt-BR"/>
        </w:rPr>
        <w:t xml:space="preserve">Na ocasião, </w:t>
      </w:r>
      <w:r w:rsidR="00F71CF0">
        <w:rPr>
          <w:rFonts w:ascii="Times New Roman" w:eastAsia="Times New Roman" w:hAnsi="Times New Roman" w:cs="Times New Roman"/>
          <w:color w:val="000000"/>
          <w:sz w:val="24"/>
          <w:szCs w:val="24"/>
          <w:lang w:eastAsia="pt-BR"/>
        </w:rPr>
        <w:t>fo</w:t>
      </w:r>
      <w:r w:rsidR="007753E0">
        <w:rPr>
          <w:rFonts w:ascii="Times New Roman" w:eastAsia="Times New Roman" w:hAnsi="Times New Roman" w:cs="Times New Roman"/>
          <w:color w:val="000000"/>
          <w:sz w:val="24"/>
          <w:szCs w:val="24"/>
          <w:lang w:eastAsia="pt-BR"/>
        </w:rPr>
        <w:t>ram</w:t>
      </w:r>
      <w:r w:rsidR="00F71CF0">
        <w:rPr>
          <w:rFonts w:ascii="Times New Roman" w:eastAsia="Times New Roman" w:hAnsi="Times New Roman" w:cs="Times New Roman"/>
          <w:color w:val="000000"/>
          <w:sz w:val="24"/>
          <w:szCs w:val="24"/>
          <w:lang w:eastAsia="pt-BR"/>
        </w:rPr>
        <w:t xml:space="preserve"> ouvida</w:t>
      </w:r>
      <w:r w:rsidR="007753E0">
        <w:rPr>
          <w:rFonts w:ascii="Times New Roman" w:eastAsia="Times New Roman" w:hAnsi="Times New Roman" w:cs="Times New Roman"/>
          <w:color w:val="000000"/>
          <w:sz w:val="24"/>
          <w:szCs w:val="24"/>
          <w:lang w:eastAsia="pt-BR"/>
        </w:rPr>
        <w:t>s</w:t>
      </w:r>
      <w:r w:rsidR="00F71CF0">
        <w:rPr>
          <w:rFonts w:ascii="Times New Roman" w:eastAsia="Times New Roman" w:hAnsi="Times New Roman" w:cs="Times New Roman"/>
          <w:color w:val="000000"/>
          <w:sz w:val="24"/>
          <w:szCs w:val="24"/>
          <w:lang w:eastAsia="pt-BR"/>
        </w:rPr>
        <w:t xml:space="preserve"> a</w:t>
      </w:r>
      <w:r w:rsidR="007753E0">
        <w:rPr>
          <w:rFonts w:ascii="Times New Roman" w:eastAsia="Times New Roman" w:hAnsi="Times New Roman" w:cs="Times New Roman"/>
          <w:color w:val="000000"/>
          <w:sz w:val="24"/>
          <w:szCs w:val="24"/>
          <w:lang w:eastAsia="pt-BR"/>
        </w:rPr>
        <w:t>s</w:t>
      </w:r>
      <w:r w:rsidR="00F71CF0">
        <w:rPr>
          <w:rFonts w:ascii="Times New Roman" w:eastAsia="Times New Roman" w:hAnsi="Times New Roman" w:cs="Times New Roman"/>
          <w:color w:val="000000"/>
          <w:sz w:val="24"/>
          <w:szCs w:val="24"/>
          <w:lang w:eastAsia="pt-BR"/>
        </w:rPr>
        <w:t xml:space="preserve"> </w:t>
      </w:r>
      <w:r w:rsidR="007753E0">
        <w:rPr>
          <w:rFonts w:ascii="Times New Roman" w:eastAsia="Times New Roman" w:hAnsi="Times New Roman" w:cs="Times New Roman"/>
          <w:color w:val="000000"/>
          <w:sz w:val="24"/>
          <w:szCs w:val="24"/>
          <w:lang w:eastAsia="pt-BR"/>
        </w:rPr>
        <w:t xml:space="preserve">testemunhas </w:t>
      </w:r>
      <w:r w:rsidR="007753E0" w:rsidRPr="007753E0">
        <w:rPr>
          <w:rFonts w:ascii="Times New Roman" w:eastAsia="Times New Roman" w:hAnsi="Times New Roman" w:cs="Times New Roman"/>
          <w:color w:val="FF0000"/>
          <w:sz w:val="24"/>
          <w:szCs w:val="24"/>
          <w:lang w:eastAsia="pt-BR"/>
        </w:rPr>
        <w:t>FULANO e CICLANO</w:t>
      </w:r>
      <w:r w:rsidR="009202DE">
        <w:rPr>
          <w:rFonts w:ascii="Times New Roman" w:eastAsia="Times New Roman" w:hAnsi="Times New Roman" w:cs="Times New Roman"/>
          <w:color w:val="000000"/>
          <w:sz w:val="24"/>
          <w:szCs w:val="24"/>
          <w:lang w:eastAsia="pt-BR"/>
        </w:rPr>
        <w:t>.</w:t>
      </w:r>
      <w:r w:rsidR="008365B8">
        <w:rPr>
          <w:rFonts w:ascii="Times New Roman" w:eastAsia="Times New Roman" w:hAnsi="Times New Roman" w:cs="Times New Roman"/>
          <w:color w:val="000000"/>
          <w:sz w:val="24"/>
          <w:szCs w:val="24"/>
          <w:lang w:eastAsia="pt-BR"/>
        </w:rPr>
        <w:t xml:space="preserve"> Em </w:t>
      </w:r>
      <w:r w:rsidR="00352847">
        <w:rPr>
          <w:rFonts w:ascii="Times New Roman" w:eastAsia="Times New Roman" w:hAnsi="Times New Roman" w:cs="Times New Roman"/>
          <w:color w:val="000000"/>
          <w:sz w:val="24"/>
          <w:szCs w:val="24"/>
          <w:lang w:eastAsia="pt-BR"/>
        </w:rPr>
        <w:t>seguida</w:t>
      </w:r>
      <w:r w:rsidR="0081683B">
        <w:rPr>
          <w:rFonts w:ascii="Times New Roman" w:eastAsia="Times New Roman" w:hAnsi="Times New Roman" w:cs="Times New Roman"/>
          <w:color w:val="000000"/>
          <w:sz w:val="24"/>
          <w:szCs w:val="24"/>
          <w:lang w:eastAsia="pt-BR"/>
        </w:rPr>
        <w:t>, o réu foi interrogado.</w:t>
      </w:r>
    </w:p>
    <w:p w14:paraId="4B8CA532" w14:textId="6DAA53B7" w:rsidR="006345FA" w:rsidRDefault="006345FA"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1DEE7C02" w14:textId="6F03034D" w:rsidR="005601BF" w:rsidRDefault="00BA73C1" w:rsidP="009B5B8E">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Ministério Público apresentou alegações finais por memoriais (ID </w:t>
      </w:r>
      <w:r w:rsidRPr="00BA73C1">
        <w:rPr>
          <w:rFonts w:ascii="Times New Roman" w:eastAsia="Times New Roman" w:hAnsi="Times New Roman" w:cs="Times New Roman"/>
          <w:color w:val="000000"/>
          <w:sz w:val="24"/>
          <w:szCs w:val="24"/>
          <w:lang w:eastAsia="pt-BR"/>
        </w:rPr>
        <w:t xml:space="preserve"> </w:t>
      </w:r>
      <w:r w:rsidR="007753E0" w:rsidRPr="007753E0">
        <w:rPr>
          <w:rFonts w:ascii="Times New Roman" w:eastAsia="Times New Roman" w:hAnsi="Times New Roman" w:cs="Times New Roman"/>
          <w:color w:val="FF0000"/>
          <w:sz w:val="24"/>
          <w:szCs w:val="24"/>
          <w:lang w:eastAsia="pt-BR"/>
        </w:rPr>
        <w:t>XX</w:t>
      </w:r>
      <w:r>
        <w:rPr>
          <w:rFonts w:ascii="Times New Roman" w:eastAsia="Times New Roman" w:hAnsi="Times New Roman" w:cs="Times New Roman"/>
          <w:color w:val="000000"/>
          <w:sz w:val="24"/>
          <w:szCs w:val="24"/>
          <w:lang w:eastAsia="pt-BR"/>
        </w:rPr>
        <w:t>)</w:t>
      </w:r>
      <w:r w:rsidR="00A91AF0">
        <w:rPr>
          <w:rFonts w:ascii="Times New Roman" w:eastAsia="Times New Roman" w:hAnsi="Times New Roman" w:cs="Times New Roman"/>
          <w:color w:val="000000"/>
          <w:sz w:val="24"/>
          <w:szCs w:val="24"/>
          <w:lang w:eastAsia="pt-BR"/>
        </w:rPr>
        <w:t>, pugnando pela condenação</w:t>
      </w:r>
      <w:r w:rsidR="00531AAD">
        <w:rPr>
          <w:rFonts w:ascii="Times New Roman" w:eastAsia="Times New Roman" w:hAnsi="Times New Roman" w:cs="Times New Roman"/>
          <w:color w:val="000000"/>
          <w:sz w:val="24"/>
          <w:szCs w:val="24"/>
          <w:lang w:eastAsia="pt-BR"/>
        </w:rPr>
        <w:t>, nos termos da denúncia.</w:t>
      </w:r>
    </w:p>
    <w:p w14:paraId="1BF10E4D" w14:textId="77777777" w:rsidR="00B4532E" w:rsidRDefault="00B4532E"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20B1AAC8" w14:textId="10B5111E" w:rsidR="007F2FC5" w:rsidRDefault="007F2FC5" w:rsidP="009B5B8E">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Em </w:t>
      </w:r>
      <w:r w:rsidR="007753E0" w:rsidRPr="007753E0">
        <w:rPr>
          <w:rFonts w:ascii="Times New Roman" w:eastAsia="Times New Roman" w:hAnsi="Times New Roman" w:cs="Times New Roman"/>
          <w:color w:val="FF0000"/>
          <w:sz w:val="24"/>
          <w:szCs w:val="24"/>
          <w:lang w:eastAsia="pt-BR"/>
        </w:rPr>
        <w:t>00/00/0000</w:t>
      </w:r>
      <w:r>
        <w:rPr>
          <w:rFonts w:ascii="Times New Roman" w:eastAsia="Times New Roman" w:hAnsi="Times New Roman" w:cs="Times New Roman"/>
          <w:color w:val="000000"/>
          <w:sz w:val="24"/>
          <w:szCs w:val="24"/>
          <w:lang w:eastAsia="pt-BR"/>
        </w:rPr>
        <w:t>, foi aberta vista dos autos à Defensoria Pública.</w:t>
      </w:r>
    </w:p>
    <w:p w14:paraId="74706EA0" w14:textId="19CA1887" w:rsidR="00866B86" w:rsidRDefault="00866B86"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791BC097" w14:textId="77777777" w:rsidR="00531AAD" w:rsidRDefault="00531AAD"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13724318" w14:textId="0F26BA58" w:rsidR="00047E91" w:rsidRPr="00893AEB" w:rsidRDefault="00047E91" w:rsidP="00BA13FC">
      <w:pPr>
        <w:pStyle w:val="PargrafodaLista"/>
        <w:numPr>
          <w:ilvl w:val="0"/>
          <w:numId w:val="2"/>
        </w:numPr>
        <w:shd w:val="clear" w:color="auto" w:fill="C5E0B3" w:themeFill="accent6" w:themeFillTint="66"/>
        <w:spacing w:after="0" w:line="360" w:lineRule="auto"/>
        <w:ind w:left="0" w:firstLine="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DO DIREITO</w:t>
      </w:r>
    </w:p>
    <w:p w14:paraId="50E2EA2D" w14:textId="38B860FC" w:rsidR="00806DAE" w:rsidRDefault="00806DAE" w:rsidP="009B5B8E">
      <w:pPr>
        <w:spacing w:after="0" w:line="293" w:lineRule="atLeast"/>
        <w:ind w:firstLine="709"/>
        <w:jc w:val="both"/>
        <w:rPr>
          <w:rFonts w:ascii="Times New Roman" w:eastAsia="Times New Roman" w:hAnsi="Times New Roman" w:cs="Times New Roman"/>
          <w:color w:val="000000"/>
          <w:sz w:val="24"/>
          <w:szCs w:val="24"/>
          <w:lang w:eastAsia="pt-BR"/>
        </w:rPr>
      </w:pPr>
    </w:p>
    <w:p w14:paraId="146D6E67" w14:textId="45312A80" w:rsidR="00531AAD" w:rsidRDefault="00531AAD" w:rsidP="009B5B8E">
      <w:pPr>
        <w:spacing w:after="0" w:line="293" w:lineRule="atLeast"/>
        <w:ind w:firstLine="709"/>
        <w:jc w:val="both"/>
        <w:rPr>
          <w:rFonts w:ascii="Times New Roman" w:eastAsia="Times New Roman" w:hAnsi="Times New Roman" w:cs="Times New Roman"/>
          <w:color w:val="000000"/>
          <w:sz w:val="24"/>
          <w:szCs w:val="24"/>
          <w:lang w:eastAsia="pt-BR"/>
        </w:rPr>
      </w:pPr>
    </w:p>
    <w:p w14:paraId="718D5FA9" w14:textId="65853014" w:rsidR="00531AAD" w:rsidRPr="00A726CF" w:rsidRDefault="00531AAD" w:rsidP="00A726CF">
      <w:pPr>
        <w:spacing w:after="0" w:line="360" w:lineRule="auto"/>
        <w:ind w:left="708"/>
        <w:jc w:val="both"/>
        <w:rPr>
          <w:rFonts w:ascii="Times New Roman" w:eastAsia="Times New Roman" w:hAnsi="Times New Roman" w:cs="Times New Roman"/>
          <w:b/>
          <w:bCs/>
          <w:i/>
          <w:iCs/>
          <w:color w:val="000000"/>
          <w:sz w:val="24"/>
          <w:szCs w:val="24"/>
          <w:lang w:eastAsia="pt-BR"/>
        </w:rPr>
      </w:pPr>
      <w:r w:rsidRPr="00A726CF">
        <w:rPr>
          <w:rFonts w:ascii="Times New Roman" w:eastAsia="Times New Roman" w:hAnsi="Times New Roman" w:cs="Times New Roman"/>
          <w:b/>
          <w:bCs/>
          <w:i/>
          <w:iCs/>
          <w:color w:val="000000"/>
          <w:sz w:val="24"/>
          <w:szCs w:val="24"/>
          <w:lang w:eastAsia="pt-BR"/>
        </w:rPr>
        <w:t xml:space="preserve">Da </w:t>
      </w:r>
      <w:r w:rsidR="00352847" w:rsidRPr="00A726CF">
        <w:rPr>
          <w:rFonts w:ascii="Times New Roman" w:eastAsia="Times New Roman" w:hAnsi="Times New Roman" w:cs="Times New Roman"/>
          <w:b/>
          <w:bCs/>
          <w:i/>
          <w:iCs/>
          <w:color w:val="000000"/>
          <w:sz w:val="24"/>
          <w:szCs w:val="24"/>
          <w:lang w:eastAsia="pt-BR"/>
        </w:rPr>
        <w:t>Impossibilidade de Condenação Fundamentada Exclusivamente em Reconhecimento Fotográfico</w:t>
      </w:r>
    </w:p>
    <w:p w14:paraId="0A385C7A" w14:textId="2F405DFB" w:rsidR="00531AAD" w:rsidRDefault="00531AAD" w:rsidP="009B5B8E">
      <w:pPr>
        <w:spacing w:after="0" w:line="293" w:lineRule="atLeast"/>
        <w:ind w:firstLine="709"/>
        <w:jc w:val="both"/>
        <w:rPr>
          <w:rFonts w:ascii="Times New Roman" w:eastAsia="Times New Roman" w:hAnsi="Times New Roman" w:cs="Times New Roman"/>
          <w:color w:val="000000"/>
          <w:sz w:val="24"/>
          <w:szCs w:val="24"/>
          <w:lang w:eastAsia="pt-BR"/>
        </w:rPr>
      </w:pPr>
    </w:p>
    <w:p w14:paraId="53623FB9" w14:textId="25459D7B" w:rsidR="00531AAD" w:rsidRDefault="007753E0" w:rsidP="0022291B">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No caso dos autos, imputa-se ao acusado a prática do roubo praticado contra a vítima </w:t>
      </w:r>
      <w:r w:rsidRPr="007753E0">
        <w:rPr>
          <w:rFonts w:ascii="Times New Roman" w:eastAsia="Times New Roman" w:hAnsi="Times New Roman" w:cs="Times New Roman"/>
          <w:color w:val="FF0000"/>
          <w:sz w:val="24"/>
          <w:szCs w:val="24"/>
          <w:lang w:eastAsia="pt-BR"/>
        </w:rPr>
        <w:t xml:space="preserve">FULANO </w:t>
      </w:r>
      <w:r>
        <w:rPr>
          <w:rFonts w:ascii="Times New Roman" w:eastAsia="Times New Roman" w:hAnsi="Times New Roman" w:cs="Times New Roman"/>
          <w:color w:val="000000"/>
          <w:sz w:val="24"/>
          <w:szCs w:val="24"/>
          <w:lang w:eastAsia="pt-BR"/>
        </w:rPr>
        <w:t xml:space="preserve">no dia </w:t>
      </w:r>
      <w:r w:rsidRPr="007753E0">
        <w:rPr>
          <w:rFonts w:ascii="Times New Roman" w:eastAsia="Times New Roman" w:hAnsi="Times New Roman" w:cs="Times New Roman"/>
          <w:color w:val="FF0000"/>
          <w:sz w:val="24"/>
          <w:szCs w:val="24"/>
          <w:lang w:eastAsia="pt-BR"/>
        </w:rPr>
        <w:t>00/00/0000</w:t>
      </w:r>
      <w:r>
        <w:rPr>
          <w:rFonts w:ascii="Times New Roman" w:eastAsia="Times New Roman" w:hAnsi="Times New Roman" w:cs="Times New Roman"/>
          <w:color w:val="000000"/>
          <w:sz w:val="24"/>
          <w:szCs w:val="24"/>
          <w:lang w:eastAsia="pt-BR"/>
        </w:rPr>
        <w:t>.</w:t>
      </w:r>
    </w:p>
    <w:p w14:paraId="113585FC" w14:textId="4D61C5B3" w:rsidR="00AC0EC7" w:rsidRDefault="00AC0EC7" w:rsidP="0022291B">
      <w:pPr>
        <w:spacing w:after="0" w:line="360" w:lineRule="auto"/>
        <w:ind w:firstLine="709"/>
        <w:jc w:val="both"/>
        <w:rPr>
          <w:rFonts w:ascii="Times New Roman" w:eastAsia="Times New Roman" w:hAnsi="Times New Roman" w:cs="Times New Roman"/>
          <w:color w:val="000000"/>
          <w:sz w:val="24"/>
          <w:szCs w:val="24"/>
          <w:lang w:eastAsia="pt-BR"/>
        </w:rPr>
      </w:pPr>
    </w:p>
    <w:p w14:paraId="3AEA43DC" w14:textId="43B3716B" w:rsidR="00AC0EC7" w:rsidRPr="00AC0EC7" w:rsidRDefault="007753E0" w:rsidP="0022291B">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despeito do entendimento ministerial, observa-se que a tese acusatória se fundamenta exclusivamente no reconhecimento fotográfico realizado pela vítima durante a investigação, confirmado pela mesma em juízo.</w:t>
      </w:r>
    </w:p>
    <w:p w14:paraId="447BDA06" w14:textId="5E67EBA6" w:rsidR="008D2E00" w:rsidRDefault="008D2E00" w:rsidP="0022291B">
      <w:pPr>
        <w:spacing w:after="0" w:line="360" w:lineRule="auto"/>
        <w:ind w:firstLine="709"/>
        <w:jc w:val="both"/>
        <w:rPr>
          <w:rFonts w:ascii="Times New Roman" w:eastAsia="Times New Roman" w:hAnsi="Times New Roman" w:cs="Times New Roman"/>
          <w:color w:val="000000"/>
          <w:sz w:val="24"/>
          <w:szCs w:val="24"/>
          <w:lang w:eastAsia="pt-BR"/>
        </w:rPr>
      </w:pPr>
    </w:p>
    <w:p w14:paraId="13F538DE" w14:textId="007C7B5E" w:rsidR="00CD624B" w:rsidRPr="007753E0" w:rsidRDefault="00156075" w:rsidP="0022291B">
      <w:pPr>
        <w:spacing w:after="0" w:line="360" w:lineRule="auto"/>
        <w:ind w:firstLine="709"/>
        <w:jc w:val="both"/>
        <w:rPr>
          <w:rFonts w:ascii="Times New Roman" w:eastAsia="Times New Roman" w:hAnsi="Times New Roman" w:cs="Times New Roman"/>
          <w:color w:val="000000"/>
          <w:sz w:val="24"/>
          <w:szCs w:val="24"/>
          <w:lang w:eastAsia="pt-BR"/>
        </w:rPr>
      </w:pPr>
      <w:r w:rsidRPr="007753E0">
        <w:rPr>
          <w:rFonts w:ascii="Times New Roman" w:eastAsia="Times New Roman" w:hAnsi="Times New Roman" w:cs="Times New Roman"/>
          <w:color w:val="000000"/>
          <w:sz w:val="24"/>
          <w:szCs w:val="24"/>
          <w:lang w:eastAsia="pt-BR"/>
        </w:rPr>
        <w:t xml:space="preserve">Consoante entendimento jurisprudencial do Superior Tribunal de Justiça, recentemente adotado também pelo e. TJDFT, o reconhecimento fotográfico, ainda que realizado com observância dos ditames do art. 226 do CPP, </w:t>
      </w:r>
      <w:r w:rsidR="007753E0" w:rsidRPr="007753E0">
        <w:rPr>
          <w:rFonts w:ascii="Times New Roman" w:eastAsia="Times New Roman" w:hAnsi="Times New Roman" w:cs="Times New Roman"/>
          <w:color w:val="000000"/>
          <w:sz w:val="24"/>
          <w:szCs w:val="24"/>
          <w:lang w:eastAsia="pt-BR"/>
        </w:rPr>
        <w:t xml:space="preserve">não pode ser considerado elemento isolado para a condenação, </w:t>
      </w:r>
      <w:r w:rsidRPr="007753E0">
        <w:rPr>
          <w:rFonts w:ascii="Times New Roman" w:eastAsia="Times New Roman" w:hAnsi="Times New Roman" w:cs="Times New Roman"/>
          <w:color w:val="000000"/>
          <w:sz w:val="24"/>
          <w:szCs w:val="24"/>
          <w:lang w:eastAsia="pt-BR"/>
        </w:rPr>
        <w:t>deve</w:t>
      </w:r>
      <w:r w:rsidR="007753E0" w:rsidRPr="007753E0">
        <w:rPr>
          <w:rFonts w:ascii="Times New Roman" w:eastAsia="Times New Roman" w:hAnsi="Times New Roman" w:cs="Times New Roman"/>
          <w:color w:val="000000"/>
          <w:sz w:val="24"/>
          <w:szCs w:val="24"/>
          <w:lang w:eastAsia="pt-BR"/>
        </w:rPr>
        <w:t>ndo</w:t>
      </w:r>
      <w:r w:rsidRPr="007753E0">
        <w:rPr>
          <w:rFonts w:ascii="Times New Roman" w:eastAsia="Times New Roman" w:hAnsi="Times New Roman" w:cs="Times New Roman"/>
          <w:color w:val="000000"/>
          <w:sz w:val="24"/>
          <w:szCs w:val="24"/>
          <w:lang w:eastAsia="pt-BR"/>
        </w:rPr>
        <w:t xml:space="preserve"> ser acompanhado ou corroborado por outros elementos de prova.</w:t>
      </w:r>
    </w:p>
    <w:p w14:paraId="3CFFD04C" w14:textId="3CE6BCAA" w:rsidR="00156075" w:rsidRDefault="00156075" w:rsidP="0022291B">
      <w:pPr>
        <w:spacing w:after="0" w:line="360" w:lineRule="auto"/>
        <w:ind w:firstLine="709"/>
        <w:jc w:val="both"/>
        <w:rPr>
          <w:rFonts w:ascii="Times New Roman" w:eastAsia="Times New Roman" w:hAnsi="Times New Roman" w:cs="Times New Roman"/>
          <w:color w:val="000000"/>
          <w:sz w:val="24"/>
          <w:szCs w:val="24"/>
          <w:lang w:eastAsia="pt-BR"/>
        </w:rPr>
      </w:pPr>
    </w:p>
    <w:p w14:paraId="7AE0A36A" w14:textId="57D7F61A" w:rsidR="00156075" w:rsidRDefault="00DE0656" w:rsidP="0022291B">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Nesse sentido, o recente julgado da Sexta Turma do STJ, noticiado no Informativo nº 730 de jurisprudência da Corte:</w:t>
      </w:r>
    </w:p>
    <w:p w14:paraId="13093617" w14:textId="636CC062" w:rsidR="00DE0656" w:rsidRDefault="00DE0656" w:rsidP="0022291B">
      <w:pPr>
        <w:spacing w:after="0" w:line="360" w:lineRule="auto"/>
        <w:ind w:firstLine="709"/>
        <w:jc w:val="both"/>
        <w:rPr>
          <w:rFonts w:ascii="Times New Roman" w:eastAsia="Times New Roman" w:hAnsi="Times New Roman" w:cs="Times New Roman"/>
          <w:color w:val="000000"/>
          <w:sz w:val="24"/>
          <w:szCs w:val="24"/>
          <w:lang w:eastAsia="pt-BR"/>
        </w:rPr>
      </w:pPr>
    </w:p>
    <w:p w14:paraId="4FDA5A67"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HABEAS CORPUS. ROUBO MAJORADO E CORRUPÇÃO DE MENORES. RECONHECIMENTO FOTOGRÁFICO DE PESSOA REALIZADO NA FASE DO INQUÉRITO POLICIAL. INOBSERVÂNCIA DO PROCEDIMENTO PREVISTO NO ART. 226 DO CPP. PROVA INVÁLIDA COMO FUNDAMENTO PARA A CONDENAÇÃO. ABSOLVIÇÃO QUE SE MOSTRA DEVIDA. ORDEM CONCEDIDA.</w:t>
      </w:r>
    </w:p>
    <w:p w14:paraId="371841FD" w14:textId="1646CC81"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1. A Sexta Turma desta Corte Superior de Justiça, por ocasião do julgamento do HC n. 598.886/SC (Rel. Ministro Rogerio Schietti), realizado em 27/10/2020, conferiu nova interpretação ao art. 226 do CPP, a fim de superar o entendimento, até então vigente, de que referido o artigo constituiria "mera recomendação" e, como tal, não ensejaria nulidade da prova eventual descumprimento dos requisitos formais ali previstos. Na ocasião, foram apresentadas as seguintes conclusões: 1.1) O reconhecimento de pessoas deve observar o procedimento previsto no art. 226 do Código de Processo Penal, cujas formalidades constituem garantia mínima para quem se encontra na condição de suspeito da prática de um crime; 1.2) À vista dos efeitos e dos riscos de um reconhecimento falho, a inobservância do procedimento descrito na referida norma processual torna inválido o reconhecimento da pessoa suspeita e não poderá servir de lastro a eventual condenação, mesmo se confirmado o reconhecimento em juízo;</w:t>
      </w:r>
      <w:r>
        <w:rPr>
          <w:rFonts w:ascii="Times New Roman" w:eastAsia="Times New Roman" w:hAnsi="Times New Roman" w:cs="Times New Roman"/>
          <w:color w:val="000000"/>
          <w:sz w:val="20"/>
          <w:szCs w:val="20"/>
          <w:lang w:eastAsia="pt-BR"/>
        </w:rPr>
        <w:t xml:space="preserve"> </w:t>
      </w:r>
      <w:r w:rsidRPr="00DE0656">
        <w:rPr>
          <w:rFonts w:ascii="Times New Roman" w:eastAsia="Times New Roman" w:hAnsi="Times New Roman" w:cs="Times New Roman"/>
          <w:color w:val="000000"/>
          <w:sz w:val="20"/>
          <w:szCs w:val="20"/>
          <w:lang w:eastAsia="pt-BR"/>
        </w:rPr>
        <w:t>1.3) Pode o magistrado realizar, em juízo, o ato de reconhecimento formal, desde que observado o devido procedimento probatório, bem como pode ele se convencer da autoria delitiva com base no exame de outras provas que não guardem relação de causa e efeito com o ato viciado de reconhecimento; 1.4) O reconhecimento do suspeito por simples exibição de fotografia(s) ao reconhecedor, a par de dever seguir o mesmo procedimento do reconhecimento pessoal, há de ser visto como etapa antecedente a eventual reconhecimento pessoal e, portanto, não pode servir como prova em ação penal, ainda que confirmado em juízo.</w:t>
      </w:r>
    </w:p>
    <w:p w14:paraId="38A86865" w14:textId="35203E44"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u w:val="single"/>
          <w:lang w:eastAsia="pt-BR"/>
        </w:rPr>
      </w:pPr>
      <w:r w:rsidRPr="00DE0656">
        <w:rPr>
          <w:rFonts w:ascii="Times New Roman" w:eastAsia="Times New Roman" w:hAnsi="Times New Roman" w:cs="Times New Roman"/>
          <w:color w:val="000000"/>
          <w:sz w:val="20"/>
          <w:szCs w:val="20"/>
          <w:u w:val="single"/>
          <w:lang w:eastAsia="pt-BR"/>
        </w:rPr>
        <w:t>2. Necessário e oportuno proceder a um ajuste na conclusão n. 4 do mencionado julgado. Não se deve considerar propriamente o reconhecimento fotográfico como "etapa antecedente a eventual reconhecimento pessoal", mas apenas como uma possibilidade de, entre outras diligências investigatórias, apurar a autoria delitiva. Não é necessariamente a prova a ser inicialmente buscada, mas, se for produzida, deve vir amparada em outros elementos de convicção para habilitar o exercício da ação penal. Segundo a doutrina especializada, o reconhecimento pessoal, feito na fase pré-processual ou em juízo, após o reconhecimento fotográfico (ou mesmo após um reconhecimento pessoal anterior), como uma espécie de ratificação, encontra sérias e consistentes dificuldades epistemológicas.</w:t>
      </w:r>
    </w:p>
    <w:p w14:paraId="2FB9AA3B" w14:textId="31018288" w:rsidR="00DE0656" w:rsidRPr="00DE0656" w:rsidRDefault="00DE0656" w:rsidP="00DE0656">
      <w:pPr>
        <w:spacing w:after="0" w:line="240" w:lineRule="auto"/>
        <w:ind w:left="1701"/>
        <w:jc w:val="both"/>
        <w:rPr>
          <w:rFonts w:ascii="Times New Roman" w:eastAsia="Times New Roman" w:hAnsi="Times New Roman" w:cs="Times New Roman"/>
          <w:b/>
          <w:bCs/>
          <w:color w:val="000000"/>
          <w:sz w:val="20"/>
          <w:szCs w:val="20"/>
          <w:u w:val="single"/>
          <w:lang w:eastAsia="pt-BR"/>
        </w:rPr>
      </w:pPr>
      <w:r w:rsidRPr="00DE0656">
        <w:rPr>
          <w:rFonts w:ascii="Times New Roman" w:eastAsia="Times New Roman" w:hAnsi="Times New Roman" w:cs="Times New Roman"/>
          <w:b/>
          <w:bCs/>
          <w:color w:val="000000"/>
          <w:sz w:val="20"/>
          <w:szCs w:val="20"/>
          <w:u w:val="single"/>
          <w:lang w:eastAsia="pt-BR"/>
        </w:rPr>
        <w:t>3. Se realizado em conformidade com o modelo legal (art. 226 do CPP), o reconhecimento pessoal é válido, sem, todavia, força probante absoluta, de sorte que não pode induzir, por si só, à certeza da autoria delitiva, em razão de sua fragilidade epistêmica.</w:t>
      </w:r>
    </w:p>
    <w:p w14:paraId="00C4747A" w14:textId="77777777" w:rsidR="00DE0656" w:rsidRPr="00DE0656" w:rsidRDefault="00DE0656" w:rsidP="00DE0656">
      <w:pPr>
        <w:spacing w:after="0" w:line="240" w:lineRule="auto"/>
        <w:ind w:left="1701"/>
        <w:jc w:val="both"/>
        <w:rPr>
          <w:rFonts w:ascii="Times New Roman" w:eastAsia="Times New Roman" w:hAnsi="Times New Roman" w:cs="Times New Roman"/>
          <w:b/>
          <w:bCs/>
          <w:color w:val="000000"/>
          <w:sz w:val="20"/>
          <w:szCs w:val="20"/>
          <w:u w:val="single"/>
          <w:lang w:eastAsia="pt-BR"/>
        </w:rPr>
      </w:pPr>
      <w:r w:rsidRPr="00DE0656">
        <w:rPr>
          <w:rFonts w:ascii="Times New Roman" w:eastAsia="Times New Roman" w:hAnsi="Times New Roman" w:cs="Times New Roman"/>
          <w:b/>
          <w:bCs/>
          <w:color w:val="000000"/>
          <w:sz w:val="20"/>
          <w:szCs w:val="20"/>
          <w:u w:val="single"/>
          <w:lang w:eastAsia="pt-BR"/>
        </w:rPr>
        <w:t>Se, todavia, tal prova for produzida em desacordo com o disposto no art. 226 do CPP, deverá ser considerada inválida, o que implica a impossibilidade de seu uso para lastrear juízo de certeza da autoria do crime, mesmo que de forma suplementar. Mais do que isso, inválido o reconhecimento, não poderá ele servir nem para lastrear outras decisões, ainda que de menor rigor quanto ao standard probatório exigido, tais como a decretação de prisão preventiva, o recebimento de denúncia e a pronúncia.</w:t>
      </w:r>
    </w:p>
    <w:p w14:paraId="53893AB6" w14:textId="4B25EB40"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4. Em julgamento concluído no dia 23/2/2022, a Segunda Turma do Supremo Tribunal Federal deu provimento ao RHC n. 206.846/SP (Rel.</w:t>
      </w:r>
      <w:r>
        <w:rPr>
          <w:rFonts w:ascii="Times New Roman" w:eastAsia="Times New Roman" w:hAnsi="Times New Roman" w:cs="Times New Roman"/>
          <w:color w:val="000000"/>
          <w:sz w:val="20"/>
          <w:szCs w:val="20"/>
          <w:lang w:eastAsia="pt-BR"/>
        </w:rPr>
        <w:t xml:space="preserve"> </w:t>
      </w:r>
      <w:r w:rsidRPr="00DE0656">
        <w:rPr>
          <w:rFonts w:ascii="Times New Roman" w:eastAsia="Times New Roman" w:hAnsi="Times New Roman" w:cs="Times New Roman"/>
          <w:color w:val="000000"/>
          <w:sz w:val="20"/>
          <w:szCs w:val="20"/>
          <w:lang w:eastAsia="pt-BR"/>
        </w:rPr>
        <w:t xml:space="preserve">Ministro Gilmar Mendes), para absolver um indivíduo preso em São Paulo depois de ser reconhecido por fotografia, tendo em vista a nulidade do reconhecimento fotográfico e a ausência de provas para a condenação. Reportando-se ao decidido no julgamento do referido </w:t>
      </w:r>
      <w:r w:rsidRPr="00DE0656">
        <w:rPr>
          <w:rFonts w:ascii="Times New Roman" w:eastAsia="Times New Roman" w:hAnsi="Times New Roman" w:cs="Times New Roman"/>
          <w:color w:val="000000"/>
          <w:sz w:val="20"/>
          <w:szCs w:val="20"/>
          <w:lang w:eastAsia="pt-BR"/>
        </w:rPr>
        <w:lastRenderedPageBreak/>
        <w:t>HC n. 598.886/SC, no STJ, foram fixadas três teses: 4.1) O reconhecimento de pessoas, presencial ou por fotografia, deve observar o procedimento previsto no art. 226 do Código de Processo Penal, cujas formalidades constituem garantia mínima para quem se encontra na condição de suspeito da prática de um crime e para uma verificação dos fatos mais justa e precisa; 4.2) A inobservância do procedimento descrito na referida norma processual torna inválido o reconhecimento da pessoa suspeita, de modo que tal elemento não poderá fundamentar eventual condenação ou decretação de prisão cautelar, mesmo se refeito e confirmado o reconhecimento em Juízo.</w:t>
      </w:r>
      <w:r>
        <w:rPr>
          <w:rFonts w:ascii="Times New Roman" w:eastAsia="Times New Roman" w:hAnsi="Times New Roman" w:cs="Times New Roman"/>
          <w:color w:val="000000"/>
          <w:sz w:val="20"/>
          <w:szCs w:val="20"/>
          <w:lang w:eastAsia="pt-BR"/>
        </w:rPr>
        <w:t xml:space="preserve"> </w:t>
      </w:r>
      <w:r w:rsidRPr="00DE0656">
        <w:rPr>
          <w:rFonts w:ascii="Times New Roman" w:eastAsia="Times New Roman" w:hAnsi="Times New Roman" w:cs="Times New Roman"/>
          <w:color w:val="000000"/>
          <w:sz w:val="20"/>
          <w:szCs w:val="20"/>
          <w:lang w:eastAsia="pt-BR"/>
        </w:rPr>
        <w:t>Se declarada a irregularidade do ato, eventual condenação já proferida poderá ser mantida, se fundamentada em provas independentes e não contaminadas; 4.3) A realização do ato de reconhecimento pessoal carece de justificação em elementos que indiquem, ainda que em juízo de verossimilhança, a autoria do fato investigado, de modo a se vedarem medidas investigativas genéricas e arbitrárias, que potencializam erros na verificação dos fatos.</w:t>
      </w:r>
    </w:p>
    <w:p w14:paraId="529E46DC"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5. Na espécie, a leitura da sentença condenatória e do acórdão impugnado, além da análise do contexto fático já delineado nos autos pelas instâncias ordinárias, permitem inferir que o paciente foi condenado, exclusivamente, com base em reconhecimento fotográfico realizado pela vítima e sem que nenhuma outra prova (apreensão de bens em seu poder, confissão, relatos indiretos etc.) autorizasse o juízo condenatório.</w:t>
      </w:r>
    </w:p>
    <w:p w14:paraId="1D115199"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6. Mais ainda, a autoridade policial induziu a vítima a realizar o reconhecimento - tornando-o viciado - ao submeter-lhe uma foto do paciente e do comparsa (adolescente), de modo a reforçar sua crença de que teriam sido eles os autores do roubo. Tal comportamento, por óbvio, acabou por comprometer a mínima aproveitabilidade desse reconhecimento.</w:t>
      </w:r>
    </w:p>
    <w:p w14:paraId="3C740EBC"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7. Estudos sobre a epistemologia jurídica e a psicologia do testemunho alertam que é contraindicado o show-up (conduta que consiste em exibir apenas a pessoa suspeita, ou sua fotografia, e solicitar que a vítima ou a testemunha reconheça se essa pessoa suspeita é, ou não, autora do crime), por incrementar o risco de falso reconhecimento. O maior problema dessa dinâmica adotada pela autoridade policial está no seu efeito indutor, porquanto se estabelece uma percepção precedente, ou seja, um pré-juízo acerca de quem seria o autor do crime, que acaba por contaminar e comprometer a memória. Ademais, uma vez que a testemunha ou a vítima reconhece alguém como o autor do delito, há tendência, por um viés de confirmação, a repetir a mesma resposta em reconhecimentos futuros, pois sua memória estará mais ativa e predisposta a tanto.</w:t>
      </w:r>
    </w:p>
    <w:p w14:paraId="4B6605F5"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8. Em verdade, o resultado do reconhecimento formal depende tanto da capacidade de memorização do reconhecedor quanto de diversos aspectos externos que podem influenciá-lo, como o tempo em que a vítima esteve exposta ao delito e ao agressor (tempo de duração do evento criminoso), a gravidade do fato, as condições ambientais (tais como visibilidade do local no momento dos fatos, aspectos geográficos etc.), a natureza do crime (com ou sem violência física, grau de violência psicológica), o tempo decorrido entre o contato com o autor do delito e a realização do reconhecimento etc.</w:t>
      </w:r>
    </w:p>
    <w:p w14:paraId="23FF62AB"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9. Sob um processo penal de cariz garantista (é dizer, conforme aos parâmetros e diretrizes constitucionais e legais), busca-se uma verdade processualmente válida, em que a reconstrução histórica dos fatos objeto do juízo se vincula a regras precisas, que assegurem às partes maior controle sobre a atividade jurisdicional.</w:t>
      </w:r>
    </w:p>
    <w:p w14:paraId="17790BB9" w14:textId="08BEDA0F"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10. Adotada, assim, a premissa de que a busca da verdade, no processo penal, se sujeita a balizas epistemológicas e também éticas, que assegurem um mínimo de idoneidade às provas e não exponham pessoas em geral ao risco de virem a ser injustamente presas e condenadas, é de se refutar que essa prova tão importante seja produzida de forma totalmente viciada. Se outros fins, que não a simples apuração da verdade, são também importantes na atividade investigatória e persecutória do Estado, algum sacrifício epistêmico, como alerta Jordi Ferrer-Beltrán, pode ocorrer, </w:t>
      </w:r>
      <w:r w:rsidRPr="00DE0656">
        <w:rPr>
          <w:rFonts w:ascii="Times New Roman" w:eastAsia="Times New Roman" w:hAnsi="Times New Roman" w:cs="Times New Roman"/>
          <w:color w:val="000000"/>
          <w:sz w:val="20"/>
          <w:szCs w:val="20"/>
          <w:lang w:eastAsia="pt-BR"/>
        </w:rPr>
        <w:lastRenderedPageBreak/>
        <w:t>especialmente quando o processo penal busca, também, a proteção a direitos fundamentais e o desestímulo a práticas autoritárias.</w:t>
      </w:r>
    </w:p>
    <w:p w14:paraId="19C36444" w14:textId="1CC022D4"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11. Impõe compreender que a atuação dos agentes públicos responsáveis pela preservação da ordem e pela apuração de crimes deve dar-se em respeito às instituições, às leis e aos direitos fundamentais. Ou seja, quando se fala de segurança pública, esta não se pode limitar à luta contra a criminalidade; deve incluir também a criação de um ambiente propício e adequado para a convivência pacífica das pessoas e de respeito institucional a quem se vê na situação de acusado e, antes disso, de suspeito.</w:t>
      </w:r>
    </w:p>
    <w:p w14:paraId="77EA570C"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12. Sob tal perspectiva, devem as agências estatais de investigação e persecução penal envidar esforços para rever hábitos e acomodações funcionais, de sorte a "utilizar instrumentos para maximizar as probabilidades de acerto na decisão probatória, em particular aqueles que visam a promover a formação de um conjunto probatório o mais rico possível, quantitativa e qualitativamente" (Ferrer-Beltrán).</w:t>
      </w:r>
    </w:p>
    <w:p w14:paraId="741A5919"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13. Convém, ainda, lembrar que as prescrições legais relativas às provas cumprem não apenas uma função epistêmica, i. e., de conferir fiabilidade e segurança ao conteúdo da prova produzida, mas também uma função de controlar o exercício do poder dos órgãos encarregados de obter a prova para uso em processo criminal, vis-à-vis os direitos inerentes à condição de suspeito, investigado ou acusado.</w:t>
      </w:r>
    </w:p>
    <w:p w14:paraId="31D90A18"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Nesse sentido, é sempre oportuna a lição de Perfécto Ibañez, que divisa, na exigência de cumprimento das prescrições legais relativas à prova, uma função implícita, a saber, a de induzir os agentes estatais à observância dessas normas, o que se perfaz com a declaração de nulidade dos atos praticados de forma ilegal.</w:t>
      </w:r>
    </w:p>
    <w:p w14:paraId="6E6517DA"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14. O zelo com que se houver a autoridade policial ao conduzir as investigações determinará não apenas a validade da prova obtida - "sem bons ingredientes não haverá forma de fazer um bom prato" (como metaforicamente lembra Jordi Ferrer-Beltrán) -, mas a própria legitimidade da atuação policial e sua conformidade ao modelo legal e constitucional. Sem embargo, conquanto as instituições policiais figurem no centro das críticas, não são as únicas a merecê-las. É preciso que todos os integrantes do sistema de justiça criminal se apropriem de técnicas pautadas nos avanços científicos para interromper e reverter essa preocupante realidade quanto ao reconhecimento pessoal de suspeitos. Práticas como a evidenciada no processo objeto deste writ só se perpetuam porque eventualmente encontram respaldo e chancela tanto do Ministério Público - a quem, como fiscal do direito (custos iuris), compromissado com a verdade e com a objetividade de atuação, cabe velar pela higidez e pela fidelidade da investigação dos fatos sob apuração, ao propósito de evitar acusações infundadas - quanto do próprio Poder Judiciário, ao validar e acatar medidas ilegais perpetradas pelas agências de segurança pública.</w:t>
      </w:r>
    </w:p>
    <w:p w14:paraId="3750FDEE"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15. Sob tais premissas e condições, não é possível ratificar a condenação do acusado, visto que apoiada em prova absolutamente desconforme ao modelo legal, sem a observância das regras probatórias próprias e sem o apoio de qualquer outra evidência produzida nos autos.</w:t>
      </w:r>
    </w:p>
    <w:p w14:paraId="392A777E" w14:textId="77777777"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 xml:space="preserve"> 16. Ordem concedida, para absolver o paciente em relação à prática dos delitos de roubo e de corrupção de menores objetos do Processo n. 0014552-59.2019.8.19.0014, da 3ª Vara Criminal da Comarca de Campos dos Goytacazes - RJ, ratificada a liminar anteriormente deferida, a fim de determinar a imediata expedição de alvará de soltura em seu favor, se por outro motivo não estiver preso.</w:t>
      </w:r>
    </w:p>
    <w:p w14:paraId="5E1D5A00" w14:textId="2D36E30F" w:rsidR="00DE0656" w:rsidRPr="00DE0656" w:rsidRDefault="00DE0656" w:rsidP="00DE0656">
      <w:pPr>
        <w:spacing w:after="0" w:line="240" w:lineRule="auto"/>
        <w:ind w:left="1701"/>
        <w:jc w:val="both"/>
        <w:rPr>
          <w:rFonts w:ascii="Times New Roman" w:eastAsia="Times New Roman" w:hAnsi="Times New Roman" w:cs="Times New Roman"/>
          <w:color w:val="000000"/>
          <w:sz w:val="20"/>
          <w:szCs w:val="20"/>
          <w:lang w:eastAsia="pt-BR"/>
        </w:rPr>
      </w:pPr>
      <w:r w:rsidRPr="00DE0656">
        <w:rPr>
          <w:rFonts w:ascii="Times New Roman" w:eastAsia="Times New Roman" w:hAnsi="Times New Roman" w:cs="Times New Roman"/>
          <w:color w:val="000000"/>
          <w:sz w:val="20"/>
          <w:szCs w:val="20"/>
          <w:lang w:eastAsia="pt-BR"/>
        </w:rPr>
        <w:t>(HC 712.781/RJ, Rel. Ministro ROGERIO SCHIETTI CRUZ, SEXTA TURMA, julgado em 15/03/2022, DJe 22/03/2022)</w:t>
      </w:r>
    </w:p>
    <w:p w14:paraId="66FFF034" w14:textId="77777777" w:rsidR="00156075" w:rsidRDefault="00156075" w:rsidP="0022291B">
      <w:pPr>
        <w:spacing w:after="0" w:line="360" w:lineRule="auto"/>
        <w:ind w:firstLine="709"/>
        <w:jc w:val="both"/>
        <w:rPr>
          <w:rFonts w:ascii="Times New Roman" w:eastAsia="Times New Roman" w:hAnsi="Times New Roman" w:cs="Times New Roman"/>
          <w:color w:val="000000"/>
          <w:sz w:val="24"/>
          <w:szCs w:val="24"/>
          <w:lang w:eastAsia="pt-BR"/>
        </w:rPr>
      </w:pPr>
    </w:p>
    <w:p w14:paraId="7B52A305" w14:textId="7C13ADDC" w:rsidR="007753E0" w:rsidRDefault="007753E0" w:rsidP="0022291B">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Observa-se que o reconhecimento fotográfico, ainda que realizado em conformidade com as regras do art. 226 do CPP, constitui elemento epistemologicamente frágil, que sequer poderia autorizar, de maneira isolada, o início da persecução penal.</w:t>
      </w:r>
    </w:p>
    <w:p w14:paraId="6AB74427" w14:textId="77777777" w:rsidR="007753E0" w:rsidRDefault="007753E0" w:rsidP="0022291B">
      <w:pPr>
        <w:spacing w:after="0" w:line="360" w:lineRule="auto"/>
        <w:ind w:firstLine="709"/>
        <w:jc w:val="both"/>
        <w:rPr>
          <w:rFonts w:ascii="Times New Roman" w:eastAsia="Times New Roman" w:hAnsi="Times New Roman" w:cs="Times New Roman"/>
          <w:color w:val="000000"/>
          <w:sz w:val="24"/>
          <w:szCs w:val="24"/>
          <w:lang w:eastAsia="pt-BR"/>
        </w:rPr>
      </w:pPr>
    </w:p>
    <w:p w14:paraId="0CC78F46" w14:textId="2C44E94F" w:rsidR="008D703D" w:rsidRDefault="008D703D" w:rsidP="0022291B">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A jurisprudência entende, ainda, que o mero comparecimento da vítima em juízo para confirmar que realizou reconhecimento durante a investigação não é suficiente para “reforçar” o reconhecimento fotográfico, tampouco para sanear eventuais irregularidades verificadas no procedimento.</w:t>
      </w:r>
    </w:p>
    <w:p w14:paraId="0D5B8E0B" w14:textId="0C64EAFB" w:rsidR="002B371A" w:rsidRDefault="002B371A"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16974E64" w14:textId="3C825046" w:rsidR="002B371A" w:rsidRDefault="002B371A" w:rsidP="009B5B8E">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Nesse sentido, o e. TJDFT:</w:t>
      </w:r>
    </w:p>
    <w:p w14:paraId="393686CC" w14:textId="77777777" w:rsidR="008D703D" w:rsidRDefault="008D703D" w:rsidP="005D76D9">
      <w:pPr>
        <w:spacing w:after="0" w:line="240" w:lineRule="auto"/>
        <w:ind w:left="1701"/>
        <w:jc w:val="both"/>
        <w:rPr>
          <w:rFonts w:ascii="Times New Roman" w:eastAsia="Times New Roman" w:hAnsi="Times New Roman" w:cs="Times New Roman"/>
          <w:color w:val="000000"/>
          <w:sz w:val="20"/>
          <w:szCs w:val="20"/>
          <w:lang w:eastAsia="pt-BR"/>
        </w:rPr>
      </w:pPr>
    </w:p>
    <w:p w14:paraId="38C1CAD3" w14:textId="424DAEC5" w:rsidR="005D76D9" w:rsidRPr="005D76D9" w:rsidRDefault="005D76D9" w:rsidP="005D76D9">
      <w:pPr>
        <w:spacing w:after="0" w:line="240" w:lineRule="auto"/>
        <w:ind w:left="1701"/>
        <w:jc w:val="both"/>
        <w:rPr>
          <w:rFonts w:ascii="Times New Roman" w:eastAsia="Times New Roman" w:hAnsi="Times New Roman" w:cs="Times New Roman"/>
          <w:color w:val="000000"/>
          <w:sz w:val="20"/>
          <w:szCs w:val="20"/>
          <w:lang w:eastAsia="pt-BR"/>
        </w:rPr>
      </w:pPr>
      <w:r w:rsidRPr="005D76D9">
        <w:rPr>
          <w:rFonts w:ascii="Times New Roman" w:eastAsia="Times New Roman" w:hAnsi="Times New Roman" w:cs="Times New Roman"/>
          <w:color w:val="000000"/>
          <w:sz w:val="20"/>
          <w:szCs w:val="20"/>
          <w:lang w:eastAsia="pt-BR"/>
        </w:rPr>
        <w:t xml:space="preserve">APELAÇÃO CRIMINAL. ROUBO CIRCUNSTANCIADO. ABSOLVIÇÃO. DESCLASSIFICAÇÃO. RECEPTAÇÃO. "MUTATIO LIBELI". RECURSO PROVIDO. 1.        Conforme novo paradigma estabelecido pela Sexta Turma do Superior Tribunal de Justiça, no julgamento do HC nº 598.886, o mero reconhecimento de pessoa por fotografia não pode servir como única prova para a condenação, </w:t>
      </w:r>
      <w:r w:rsidRPr="005D76D9">
        <w:rPr>
          <w:rFonts w:ascii="Times New Roman" w:eastAsia="Times New Roman" w:hAnsi="Times New Roman" w:cs="Times New Roman"/>
          <w:b/>
          <w:bCs/>
          <w:color w:val="000000"/>
          <w:sz w:val="20"/>
          <w:szCs w:val="20"/>
          <w:u w:val="single"/>
          <w:lang w:eastAsia="pt-BR"/>
        </w:rPr>
        <w:t>ainda que confirmado em Juízo</w:t>
      </w:r>
      <w:r w:rsidRPr="005D76D9">
        <w:rPr>
          <w:rFonts w:ascii="Times New Roman" w:eastAsia="Times New Roman" w:hAnsi="Times New Roman" w:cs="Times New Roman"/>
          <w:color w:val="000000"/>
          <w:sz w:val="20"/>
          <w:szCs w:val="20"/>
          <w:lang w:eastAsia="pt-BR"/>
        </w:rPr>
        <w:t xml:space="preserve">, sendo indispensável a existência de outras provas independentes e idôneas que corroborem a autoria, a formar o convencimento judicial, o que não ocorreu no caso em tela. </w:t>
      </w:r>
      <w:r>
        <w:rPr>
          <w:rFonts w:ascii="Times New Roman" w:eastAsia="Times New Roman" w:hAnsi="Times New Roman" w:cs="Times New Roman"/>
          <w:color w:val="000000"/>
          <w:sz w:val="20"/>
          <w:szCs w:val="20"/>
          <w:lang w:eastAsia="pt-BR"/>
        </w:rPr>
        <w:t>[...]</w:t>
      </w:r>
      <w:r w:rsidRPr="005D76D9">
        <w:rPr>
          <w:rFonts w:ascii="Times New Roman" w:eastAsia="Times New Roman" w:hAnsi="Times New Roman" w:cs="Times New Roman"/>
          <w:color w:val="000000"/>
          <w:sz w:val="20"/>
          <w:szCs w:val="20"/>
          <w:lang w:eastAsia="pt-BR"/>
        </w:rPr>
        <w:t xml:space="preserve"> 6. Recurso provido.    </w:t>
      </w:r>
    </w:p>
    <w:p w14:paraId="5A6AA124" w14:textId="423AE0DD" w:rsidR="002B371A" w:rsidRDefault="005D76D9" w:rsidP="005D76D9">
      <w:pPr>
        <w:spacing w:after="0" w:line="240" w:lineRule="auto"/>
        <w:ind w:left="1701"/>
        <w:jc w:val="both"/>
        <w:rPr>
          <w:rFonts w:ascii="Times New Roman" w:eastAsia="Times New Roman" w:hAnsi="Times New Roman" w:cs="Times New Roman"/>
          <w:color w:val="000000"/>
          <w:sz w:val="20"/>
          <w:szCs w:val="20"/>
          <w:lang w:eastAsia="pt-BR"/>
        </w:rPr>
      </w:pPr>
      <w:r w:rsidRPr="005D76D9">
        <w:rPr>
          <w:rFonts w:ascii="Times New Roman" w:eastAsia="Times New Roman" w:hAnsi="Times New Roman" w:cs="Times New Roman"/>
          <w:color w:val="000000"/>
          <w:sz w:val="20"/>
          <w:szCs w:val="20"/>
          <w:lang w:eastAsia="pt-BR"/>
        </w:rPr>
        <w:t>(Acórdão 1411079, 07005446520208070004, Relator: SILVANIO BARBOSA DOS SANTOS, 2ª Turma Criminal, data de julgamento: 31/3/2022, publicado no DJE: 5/4/2022. Pág.: Sem Página Cadastrada.)</w:t>
      </w:r>
    </w:p>
    <w:p w14:paraId="67D1441E" w14:textId="7BDE01AB" w:rsidR="005D76D9" w:rsidRDefault="005D76D9" w:rsidP="005D76D9">
      <w:pPr>
        <w:spacing w:after="0" w:line="240" w:lineRule="auto"/>
        <w:ind w:left="1701"/>
        <w:jc w:val="both"/>
        <w:rPr>
          <w:rFonts w:ascii="Times New Roman" w:eastAsia="Times New Roman" w:hAnsi="Times New Roman" w:cs="Times New Roman"/>
          <w:color w:val="000000"/>
          <w:sz w:val="20"/>
          <w:szCs w:val="20"/>
          <w:lang w:eastAsia="pt-BR"/>
        </w:rPr>
      </w:pPr>
    </w:p>
    <w:p w14:paraId="0EF2FADB" w14:textId="5B9D9E27" w:rsidR="008D703D" w:rsidRDefault="008D703D" w:rsidP="005D76D9">
      <w:pPr>
        <w:spacing w:after="0" w:line="240" w:lineRule="auto"/>
        <w:ind w:left="1701"/>
        <w:jc w:val="both"/>
        <w:rPr>
          <w:rFonts w:ascii="Times New Roman" w:eastAsia="Times New Roman" w:hAnsi="Times New Roman" w:cs="Times New Roman"/>
          <w:color w:val="000000"/>
          <w:sz w:val="20"/>
          <w:szCs w:val="20"/>
          <w:lang w:eastAsia="pt-BR"/>
        </w:rPr>
      </w:pPr>
    </w:p>
    <w:p w14:paraId="6717E5F9" w14:textId="77777777" w:rsidR="008D703D" w:rsidRPr="0026766D" w:rsidRDefault="008D703D" w:rsidP="008D703D">
      <w:pPr>
        <w:spacing w:after="0" w:line="240" w:lineRule="auto"/>
        <w:ind w:left="1701"/>
        <w:jc w:val="both"/>
        <w:rPr>
          <w:rFonts w:ascii="Times New Roman" w:hAnsi="Times New Roman" w:cs="Times New Roman"/>
          <w:sz w:val="20"/>
          <w:szCs w:val="20"/>
        </w:rPr>
      </w:pPr>
      <w:r w:rsidRPr="0026766D">
        <w:rPr>
          <w:rFonts w:ascii="Times New Roman" w:hAnsi="Times New Roman" w:cs="Times New Roman"/>
          <w:sz w:val="20"/>
          <w:szCs w:val="20"/>
        </w:rPr>
        <w:t xml:space="preserve">APELAÇÃO CRIMINAL. ROUBO MAJORADO PELO CONCURSO DE PESSOA. ABSOLVIÇÃO. RECONHECIMENTO FOTOGRÁFICO. AUSÊNCIA DE PROVAS INDEPENDENTES. RECURSO PROVIDO. 1. A vítima noticiou ter sido abordada por dois indivíduos que exigiram a entrega de seu celular, o qual ela arremessou em um lote, ocasionando a evasão deles sem a consumação do delito. Um policial militar do estado de Goiás teria visualizado a tentativa de roubo e perseguido os agentes, logrando deter o réu até a chegada dos policiais do Distrito Federal. A vítima não presenciou a abordagem e o policial não foi ouvido para elucidar se houve solução de continuidade na perseguição, sendo insuperável a dúvida quanto à alegação do acusado de que teria sido confundido. 2. Conforme novo paradigma estabelecido pela Sexta Turma do Superior Tribunal de Justiça, no julgamento do HC nº 598.886, </w:t>
      </w:r>
      <w:r w:rsidRPr="0026766D">
        <w:rPr>
          <w:rFonts w:ascii="Times New Roman" w:hAnsi="Times New Roman" w:cs="Times New Roman"/>
          <w:b/>
          <w:bCs/>
          <w:sz w:val="20"/>
          <w:szCs w:val="20"/>
          <w:u w:val="single"/>
        </w:rPr>
        <w:t>o mero reconhecimento de pessoa por fotografia não pode servir como única prova para a condenação, ainda que confirmado em Juízo, sendo indispensável a existência de outras provas independentes e idôneas que corroborem a autoria, a formar o convencimento judicial, o que não ocorreu no caso em tela.</w:t>
      </w:r>
      <w:r w:rsidRPr="0026766D">
        <w:rPr>
          <w:rFonts w:ascii="Times New Roman" w:hAnsi="Times New Roman" w:cs="Times New Roman"/>
          <w:sz w:val="20"/>
          <w:szCs w:val="20"/>
        </w:rPr>
        <w:t xml:space="preserve"> 3. Havendo razoável dúvida quanto à autoria do réu no delito em comento, fragilizando um eventual decreto condenatório, a absolvição é medida de rigor, com fulcro na insuficiência de prova, nos termos do artigo 386, inciso VII, do Código de Processo Penal e na aplicação do princípio do "in dubio pro reo". 4. Recurso provido.  </w:t>
      </w:r>
    </w:p>
    <w:p w14:paraId="1ADE6890" w14:textId="77777777" w:rsidR="008D703D" w:rsidRDefault="008D703D" w:rsidP="008D703D">
      <w:pPr>
        <w:spacing w:line="240" w:lineRule="auto"/>
        <w:ind w:left="1701"/>
        <w:jc w:val="both"/>
        <w:rPr>
          <w:rFonts w:ascii="Times New Roman" w:hAnsi="Times New Roman" w:cs="Times New Roman"/>
          <w:sz w:val="20"/>
          <w:szCs w:val="20"/>
        </w:rPr>
      </w:pPr>
      <w:r w:rsidRPr="0026766D">
        <w:rPr>
          <w:rFonts w:ascii="Times New Roman" w:hAnsi="Times New Roman" w:cs="Times New Roman"/>
          <w:sz w:val="20"/>
          <w:szCs w:val="20"/>
        </w:rPr>
        <w:lastRenderedPageBreak/>
        <w:t>(Acórdão 1409309, 00003874220208070002, Relator: SILVANIO BARBOSA DOS SANTOS, 2ª Turma Criminal, data de julgamento: 17/3/2022, publicado no PJe: 6/4/2022. Pág.: Sem Página Cadastrada.)</w:t>
      </w:r>
    </w:p>
    <w:p w14:paraId="0C42557E" w14:textId="15AC821B" w:rsidR="008D703D" w:rsidRDefault="008D703D" w:rsidP="005D76D9">
      <w:pPr>
        <w:spacing w:after="0" w:line="240" w:lineRule="auto"/>
        <w:ind w:left="1701"/>
        <w:jc w:val="both"/>
        <w:rPr>
          <w:rFonts w:ascii="Times New Roman" w:eastAsia="Times New Roman" w:hAnsi="Times New Roman" w:cs="Times New Roman"/>
          <w:color w:val="000000"/>
          <w:sz w:val="20"/>
          <w:szCs w:val="20"/>
          <w:lang w:eastAsia="pt-BR"/>
        </w:rPr>
      </w:pPr>
    </w:p>
    <w:p w14:paraId="1799FB58" w14:textId="7A7B0F79" w:rsidR="005C60FD" w:rsidRPr="005C60FD" w:rsidRDefault="005C60FD" w:rsidP="005C60FD">
      <w:pPr>
        <w:spacing w:after="0" w:line="240" w:lineRule="auto"/>
        <w:ind w:left="1701"/>
        <w:jc w:val="both"/>
        <w:rPr>
          <w:rFonts w:ascii="Times New Roman" w:eastAsia="Times New Roman" w:hAnsi="Times New Roman" w:cs="Times New Roman"/>
          <w:color w:val="000000"/>
          <w:sz w:val="20"/>
          <w:szCs w:val="20"/>
          <w:lang w:eastAsia="pt-BR"/>
        </w:rPr>
      </w:pPr>
      <w:r w:rsidRPr="005C60FD">
        <w:rPr>
          <w:rFonts w:ascii="Times New Roman" w:eastAsia="Times New Roman" w:hAnsi="Times New Roman" w:cs="Times New Roman"/>
          <w:color w:val="000000"/>
          <w:sz w:val="20"/>
          <w:szCs w:val="20"/>
          <w:lang w:eastAsia="pt-BR"/>
        </w:rPr>
        <w:t xml:space="preserve">PENAL E PROCESSO PENAL. APELAÇÃO CRIMINAL. ROUBO. AUTORIA NÃO COMPROVADA. RECONHECIMENTO POR FOTOGRAFIA. INSUFICIÊNCIA. 1. Nos crimes contra o patrimônio, a palavra da vítima possui especial valor probatório, desde que aliada a outras provas produzidas nos autos. </w:t>
      </w:r>
      <w:r w:rsidRPr="005C60FD">
        <w:rPr>
          <w:rFonts w:ascii="Times New Roman" w:eastAsia="Times New Roman" w:hAnsi="Times New Roman" w:cs="Times New Roman"/>
          <w:b/>
          <w:bCs/>
          <w:color w:val="000000"/>
          <w:sz w:val="20"/>
          <w:szCs w:val="20"/>
          <w:u w:val="single"/>
          <w:lang w:eastAsia="pt-BR"/>
        </w:rPr>
        <w:t>2. O reconhecimento fotográfico pode ser considerado como elemento para comprovação da autoria delitiva, desde que corroborado por outros elementos de prova.</w:t>
      </w:r>
      <w:r w:rsidRPr="005C60FD">
        <w:rPr>
          <w:rFonts w:ascii="Times New Roman" w:eastAsia="Times New Roman" w:hAnsi="Times New Roman" w:cs="Times New Roman"/>
          <w:color w:val="000000"/>
          <w:sz w:val="20"/>
          <w:szCs w:val="20"/>
          <w:lang w:eastAsia="pt-BR"/>
        </w:rPr>
        <w:t xml:space="preserve"> 3. Tendo em vista que a condenação criminal deve ser lastrear em certeza da ocorrência do crime e da autoria, a existência de dúvida deve sopesar a favor do réu. 4. Não se mostrando harmonioso e coeso o conjunto probatório coligido aos autos para formação da condenação, que deve fundamentar-se em provas inequívocas,  a absolvição é medida que se impõe, em observância ao princípio in dubio pro reo. 5. Apelação conhecida e desprovida.            </w:t>
      </w:r>
    </w:p>
    <w:p w14:paraId="160812FD" w14:textId="094C11B3" w:rsidR="005C60FD" w:rsidRDefault="005C60FD" w:rsidP="005C60FD">
      <w:pPr>
        <w:spacing w:after="0" w:line="240" w:lineRule="auto"/>
        <w:ind w:left="1701"/>
        <w:jc w:val="both"/>
        <w:rPr>
          <w:rFonts w:ascii="Times New Roman" w:eastAsia="Times New Roman" w:hAnsi="Times New Roman" w:cs="Times New Roman"/>
          <w:color w:val="000000"/>
          <w:sz w:val="20"/>
          <w:szCs w:val="20"/>
          <w:lang w:eastAsia="pt-BR"/>
        </w:rPr>
      </w:pPr>
      <w:r w:rsidRPr="005C60FD">
        <w:rPr>
          <w:rFonts w:ascii="Times New Roman" w:eastAsia="Times New Roman" w:hAnsi="Times New Roman" w:cs="Times New Roman"/>
          <w:color w:val="000000"/>
          <w:sz w:val="20"/>
          <w:szCs w:val="20"/>
          <w:lang w:eastAsia="pt-BR"/>
        </w:rPr>
        <w:t>(Acórdão 1399802, 07070123620208070007, Relator: SEBASTIÃO COELHO, 3ª Turma Criminal, data de julgamento: 17/2/2022, publicado no DJE: 22/2/2022. Pág.: Sem Página Cadastrada.)</w:t>
      </w:r>
    </w:p>
    <w:p w14:paraId="2FF10CB0" w14:textId="4D809793" w:rsidR="005C60FD" w:rsidRDefault="005C60FD" w:rsidP="005D76D9">
      <w:pPr>
        <w:spacing w:after="0" w:line="240" w:lineRule="auto"/>
        <w:ind w:left="1701"/>
        <w:jc w:val="both"/>
        <w:rPr>
          <w:rFonts w:ascii="Times New Roman" w:eastAsia="Times New Roman" w:hAnsi="Times New Roman" w:cs="Times New Roman"/>
          <w:color w:val="000000"/>
          <w:sz w:val="20"/>
          <w:szCs w:val="20"/>
          <w:lang w:eastAsia="pt-BR"/>
        </w:rPr>
      </w:pPr>
    </w:p>
    <w:p w14:paraId="28FF0CDF" w14:textId="77777777" w:rsidR="008D703D" w:rsidRDefault="008D703D" w:rsidP="005D76D9">
      <w:pPr>
        <w:spacing w:after="0" w:line="240" w:lineRule="auto"/>
        <w:ind w:left="1701"/>
        <w:jc w:val="both"/>
        <w:rPr>
          <w:rFonts w:ascii="Times New Roman" w:eastAsia="Times New Roman" w:hAnsi="Times New Roman" w:cs="Times New Roman"/>
          <w:color w:val="000000"/>
          <w:sz w:val="20"/>
          <w:szCs w:val="20"/>
          <w:lang w:eastAsia="pt-BR"/>
        </w:rPr>
      </w:pPr>
    </w:p>
    <w:p w14:paraId="6E274490" w14:textId="75F9D82A" w:rsidR="005D76D9" w:rsidRPr="005D76D9" w:rsidRDefault="005D76D9" w:rsidP="005D76D9">
      <w:pPr>
        <w:spacing w:after="0" w:line="240" w:lineRule="auto"/>
        <w:ind w:left="1701"/>
        <w:jc w:val="both"/>
        <w:rPr>
          <w:rFonts w:ascii="Times New Roman" w:eastAsia="Times New Roman" w:hAnsi="Times New Roman" w:cs="Times New Roman"/>
          <w:color w:val="000000"/>
          <w:sz w:val="20"/>
          <w:szCs w:val="20"/>
          <w:lang w:eastAsia="pt-BR"/>
        </w:rPr>
      </w:pPr>
      <w:r w:rsidRPr="005D76D9">
        <w:rPr>
          <w:rFonts w:ascii="Times New Roman" w:eastAsia="Times New Roman" w:hAnsi="Times New Roman" w:cs="Times New Roman"/>
          <w:color w:val="000000"/>
          <w:sz w:val="20"/>
          <w:szCs w:val="20"/>
          <w:lang w:eastAsia="pt-BR"/>
        </w:rPr>
        <w:t xml:space="preserve">ROUBO CIRCUNSTANCIADO. SENTENÇA ABSOLUTÓRIA. RECURSO DO MINISTÉRIO PÚBLICO. CONDENAÇÃO. INVIABILIDADE. PROVAS INSUFICIENTES. "IN DUBIO PRO REO". RECURSO DESPROVIDO. 1. Preserva-se a absolvição quando a acusação não produz provas robustas e irrefutáveis acerca da autoria imputada aos réus, pois, além dos frágeis depoimentos das vítimas, </w:t>
      </w:r>
      <w:r w:rsidRPr="005D76D9">
        <w:rPr>
          <w:rFonts w:ascii="Times New Roman" w:eastAsia="Times New Roman" w:hAnsi="Times New Roman" w:cs="Times New Roman"/>
          <w:b/>
          <w:bCs/>
          <w:color w:val="000000"/>
          <w:sz w:val="20"/>
          <w:szCs w:val="20"/>
          <w:u w:val="single"/>
          <w:lang w:eastAsia="pt-BR"/>
        </w:rPr>
        <w:t>o reconhecimento fotográfico realizado na delegacia não foi complementado pelo reconhecimento pessoal, consoante exigido pela novel jurisprudência do STJ, tampouco corroborado por outras provas colhidas na fase judicial, sob o crivo do contraditório e da ampla defesa, tornando-se inviável a prolação de uma sentença penal condenatória.</w:t>
      </w:r>
      <w:r w:rsidRPr="005D76D9">
        <w:rPr>
          <w:rFonts w:ascii="Times New Roman" w:eastAsia="Times New Roman" w:hAnsi="Times New Roman" w:cs="Times New Roman"/>
          <w:color w:val="000000"/>
          <w:sz w:val="20"/>
          <w:szCs w:val="20"/>
          <w:lang w:eastAsia="pt-BR"/>
        </w:rPr>
        <w:t xml:space="preserve"> 2. O fato de os réus terem sido presos dias depois cometendo um crime similar ao descrito na denúncia, não implica, necessariamente, que também teriam praticado o roubo que ora se análise, ainda porque, trata-se de um delito muito comum (roubo em transporte coletivo) em que o modus operandi pouco difere, mesmo quando os autores não são os mesmos. 3.  Diante de dúvidas razoáveis acerca da autoria delitiva em relação aos apelados, absolvidos na sentença, enfraquecendo um possível decreto condenatório, melhor atende aos interesses da justiça absolver um suposto culpado do que condenar um inocente, impondo-se, no presente caso, a aplicação do brocardo "in dubio pro reo". 4. Recurso desprovido.      </w:t>
      </w:r>
    </w:p>
    <w:p w14:paraId="43B1ED31" w14:textId="737E44B1" w:rsidR="005D76D9" w:rsidRPr="005D76D9" w:rsidRDefault="005D76D9" w:rsidP="005D76D9">
      <w:pPr>
        <w:spacing w:after="0" w:line="240" w:lineRule="auto"/>
        <w:ind w:left="1701"/>
        <w:jc w:val="both"/>
        <w:rPr>
          <w:rFonts w:ascii="Times New Roman" w:eastAsia="Times New Roman" w:hAnsi="Times New Roman" w:cs="Times New Roman"/>
          <w:color w:val="000000"/>
          <w:sz w:val="20"/>
          <w:szCs w:val="20"/>
          <w:lang w:eastAsia="pt-BR"/>
        </w:rPr>
      </w:pPr>
      <w:r w:rsidRPr="005D76D9">
        <w:rPr>
          <w:rFonts w:ascii="Times New Roman" w:eastAsia="Times New Roman" w:hAnsi="Times New Roman" w:cs="Times New Roman"/>
          <w:color w:val="000000"/>
          <w:sz w:val="20"/>
          <w:szCs w:val="20"/>
          <w:lang w:eastAsia="pt-BR"/>
        </w:rPr>
        <w:t>(Acórdão 1409371, 07225437720208070003, Relator: SILVANIO BARBOSA DOS SANTOS, 2ª Turma Criminal, data de julgamento: 17/3/2022, publicado no PJe: 28/3/2022. Pág.: Sem Página Cadastrada.)</w:t>
      </w:r>
    </w:p>
    <w:p w14:paraId="75FE52AE" w14:textId="38B6C344" w:rsidR="00FC286C" w:rsidRDefault="00FC286C"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4E4D3B0F" w14:textId="029B8CA6" w:rsidR="0070573D" w:rsidRPr="00A726CF" w:rsidRDefault="005C60FD" w:rsidP="009B5B8E">
      <w:pPr>
        <w:spacing w:after="0" w:line="360" w:lineRule="auto"/>
        <w:ind w:firstLine="709"/>
        <w:jc w:val="both"/>
        <w:rPr>
          <w:rFonts w:ascii="Times New Roman" w:eastAsia="Times New Roman" w:hAnsi="Times New Roman" w:cs="Times New Roman"/>
          <w:color w:val="FF0000"/>
          <w:sz w:val="24"/>
          <w:szCs w:val="24"/>
          <w:lang w:eastAsia="pt-BR"/>
        </w:rPr>
      </w:pPr>
      <w:r w:rsidRPr="00A726CF">
        <w:rPr>
          <w:rFonts w:ascii="Times New Roman" w:eastAsia="Times New Roman" w:hAnsi="Times New Roman" w:cs="Times New Roman"/>
          <w:color w:val="FF0000"/>
          <w:sz w:val="24"/>
          <w:szCs w:val="24"/>
          <w:lang w:eastAsia="pt-BR"/>
        </w:rPr>
        <w:t xml:space="preserve">No caso dos autos, </w:t>
      </w:r>
      <w:r w:rsidR="00DE0656" w:rsidRPr="00A726CF">
        <w:rPr>
          <w:rFonts w:ascii="Times New Roman" w:eastAsia="Times New Roman" w:hAnsi="Times New Roman" w:cs="Times New Roman"/>
          <w:color w:val="FF0000"/>
          <w:sz w:val="24"/>
          <w:szCs w:val="24"/>
          <w:lang w:eastAsia="pt-BR"/>
        </w:rPr>
        <w:t xml:space="preserve">o reconhecimento fotográfico, além de isolado, foi realizado de maneira manifestamente viciada, </w:t>
      </w:r>
      <w:r w:rsidR="00A726CF" w:rsidRPr="00A726CF">
        <w:rPr>
          <w:rFonts w:ascii="Times New Roman" w:eastAsia="Times New Roman" w:hAnsi="Times New Roman" w:cs="Times New Roman"/>
          <w:color w:val="FF0000"/>
          <w:sz w:val="24"/>
          <w:szCs w:val="24"/>
          <w:lang w:eastAsia="pt-BR"/>
        </w:rPr>
        <w:t>pois a vítima não foi instada a descrever as características físicas do suspeito</w:t>
      </w:r>
      <w:r w:rsidR="00A726CF">
        <w:rPr>
          <w:rFonts w:ascii="Times New Roman" w:eastAsia="Times New Roman" w:hAnsi="Times New Roman" w:cs="Times New Roman"/>
          <w:color w:val="FF0000"/>
          <w:sz w:val="24"/>
          <w:szCs w:val="24"/>
          <w:lang w:eastAsia="pt-BR"/>
        </w:rPr>
        <w:t>. Além disso, a única fotografia exibida foi a do próprio réu, desacompanhada de outras imagens, o que induziu a vítima a indica-lo como autor dos fatos.</w:t>
      </w:r>
    </w:p>
    <w:p w14:paraId="629F31AA" w14:textId="10412A1E" w:rsidR="00DE0656" w:rsidRDefault="00DE0656"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3FD7B854" w14:textId="4FD62A5F" w:rsidR="002B4575" w:rsidRDefault="002B4575" w:rsidP="009B5B8E">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Ao cabo, nenhum outro elemento confirma o reconhecimento fotográfico: nenhum bem foi apreendido com o acusado, a suposta arma do crime não foi encontrada, não existe confissão e nem sequer depoimentos indiretos que confirmem a autoria.</w:t>
      </w:r>
    </w:p>
    <w:p w14:paraId="7683C616" w14:textId="38532657" w:rsidR="00CF0D6A" w:rsidRDefault="00CF0D6A" w:rsidP="002B4575">
      <w:pPr>
        <w:spacing w:after="0" w:line="360" w:lineRule="auto"/>
        <w:jc w:val="both"/>
        <w:rPr>
          <w:rFonts w:ascii="Times New Roman" w:eastAsia="Times New Roman" w:hAnsi="Times New Roman" w:cs="Times New Roman"/>
          <w:color w:val="000000"/>
          <w:sz w:val="24"/>
          <w:szCs w:val="24"/>
          <w:lang w:eastAsia="pt-BR"/>
        </w:rPr>
      </w:pPr>
    </w:p>
    <w:p w14:paraId="756A6104" w14:textId="384EC3FF" w:rsidR="00693888" w:rsidRDefault="00FE206D" w:rsidP="009B5B8E">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Dessa forma, o arcabouço probatório se revela bastante incipiente e não é apto a </w:t>
      </w:r>
      <w:r w:rsidR="002B4575">
        <w:rPr>
          <w:rFonts w:ascii="Times New Roman" w:eastAsia="Times New Roman" w:hAnsi="Times New Roman" w:cs="Times New Roman"/>
          <w:color w:val="000000"/>
          <w:sz w:val="24"/>
          <w:szCs w:val="24"/>
          <w:lang w:eastAsia="pt-BR"/>
        </w:rPr>
        <w:t>comprovar a autoria</w:t>
      </w:r>
      <w:r>
        <w:rPr>
          <w:rFonts w:ascii="Times New Roman" w:eastAsia="Times New Roman" w:hAnsi="Times New Roman" w:cs="Times New Roman"/>
          <w:color w:val="000000"/>
          <w:sz w:val="24"/>
          <w:szCs w:val="24"/>
          <w:lang w:eastAsia="pt-BR"/>
        </w:rPr>
        <w:t xml:space="preserve">, razão pela qual requer </w:t>
      </w:r>
      <w:r w:rsidR="00A726CF">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absolvição</w:t>
      </w:r>
      <w:r w:rsidR="00A726CF">
        <w:rPr>
          <w:rFonts w:ascii="Times New Roman" w:eastAsia="Times New Roman" w:hAnsi="Times New Roman" w:cs="Times New Roman"/>
          <w:color w:val="000000"/>
          <w:sz w:val="24"/>
          <w:szCs w:val="24"/>
          <w:lang w:eastAsia="pt-BR"/>
        </w:rPr>
        <w:t xml:space="preserve"> do réu</w:t>
      </w:r>
      <w:r>
        <w:rPr>
          <w:rFonts w:ascii="Times New Roman" w:eastAsia="Times New Roman" w:hAnsi="Times New Roman" w:cs="Times New Roman"/>
          <w:color w:val="000000"/>
          <w:sz w:val="24"/>
          <w:szCs w:val="24"/>
          <w:lang w:eastAsia="pt-BR"/>
        </w:rPr>
        <w:t>, na forma do art. 386, inciso V, do CPP.</w:t>
      </w:r>
    </w:p>
    <w:p w14:paraId="4ADB79B0" w14:textId="77777777" w:rsidR="007127CE" w:rsidRDefault="007127CE" w:rsidP="002B4575">
      <w:pPr>
        <w:spacing w:after="0" w:line="360" w:lineRule="auto"/>
        <w:jc w:val="both"/>
        <w:rPr>
          <w:rFonts w:ascii="Times New Roman" w:hAnsi="Times New Roman" w:cs="Times New Roman"/>
          <w:sz w:val="24"/>
          <w:szCs w:val="24"/>
        </w:rPr>
      </w:pPr>
    </w:p>
    <w:p w14:paraId="3CFA1F4C" w14:textId="77777777" w:rsidR="007127CE" w:rsidRDefault="007127CE" w:rsidP="00DF6683">
      <w:pPr>
        <w:spacing w:after="0" w:line="360" w:lineRule="auto"/>
        <w:ind w:firstLine="720"/>
        <w:jc w:val="both"/>
        <w:rPr>
          <w:rFonts w:ascii="Times New Roman" w:hAnsi="Times New Roman" w:cs="Times New Roman"/>
          <w:sz w:val="24"/>
          <w:szCs w:val="24"/>
        </w:rPr>
      </w:pPr>
    </w:p>
    <w:p w14:paraId="7CDCFE6E" w14:textId="647DF7F3" w:rsidR="00395204" w:rsidRPr="00893AEB" w:rsidRDefault="00395204" w:rsidP="00BA13FC">
      <w:pPr>
        <w:pStyle w:val="PargrafodaLista"/>
        <w:numPr>
          <w:ilvl w:val="0"/>
          <w:numId w:val="2"/>
        </w:numPr>
        <w:shd w:val="clear" w:color="auto" w:fill="C5E0B3" w:themeFill="accent6" w:themeFillTint="66"/>
        <w:spacing w:after="0" w:line="360" w:lineRule="auto"/>
        <w:ind w:left="0" w:firstLine="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DA APLICAÇÃO DA PENA</w:t>
      </w:r>
    </w:p>
    <w:p w14:paraId="676A877F" w14:textId="77777777" w:rsidR="00395204" w:rsidRDefault="00395204"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11D118E6" w14:textId="6DE84168" w:rsidR="00251EF9" w:rsidRDefault="008E5907" w:rsidP="00251EF9">
      <w:pPr>
        <w:pStyle w:val="Corpodetexto"/>
        <w:spacing w:line="360" w:lineRule="auto"/>
        <w:ind w:right="137" w:firstLine="709"/>
        <w:jc w:val="both"/>
      </w:pPr>
      <w:r>
        <w:t>Na remota hipótese de condenação, r</w:t>
      </w:r>
      <w:r w:rsidR="00251EF9">
        <w:t xml:space="preserve">equer-se que a pena seja aplicada em seu mínimo legal, em conformidade com o ordenamento pátrio. </w:t>
      </w:r>
    </w:p>
    <w:p w14:paraId="1DB4F145" w14:textId="77777777" w:rsidR="00251EF9" w:rsidRDefault="00251EF9" w:rsidP="00251EF9">
      <w:pPr>
        <w:pStyle w:val="Corpodetexto"/>
        <w:spacing w:line="360" w:lineRule="auto"/>
        <w:ind w:right="137" w:firstLine="709"/>
        <w:jc w:val="both"/>
      </w:pPr>
    </w:p>
    <w:p w14:paraId="0AD48151" w14:textId="77777777" w:rsidR="00C66651" w:rsidRDefault="00251EF9" w:rsidP="00251EF9">
      <w:pPr>
        <w:pStyle w:val="Corpodetexto"/>
        <w:spacing w:line="360" w:lineRule="auto"/>
        <w:ind w:right="137" w:firstLine="709"/>
        <w:jc w:val="both"/>
      </w:pPr>
      <w:r>
        <w:t>Conforme análise das circunstâncias judiciais previstas no art. 59 do Código Penal, neste caso concreto, a culpabilidade do acusado está dentro dos padrões normais da conduta descrita no tipo, não apresentando qualquer excesso que dê ensejo a uma avaliação desfavorável. Não há nos autos também elementos que permitam analisar de forma negativa a conduta social e a personalidade do réu</w:t>
      </w:r>
      <w:r w:rsidR="00C66651">
        <w:t>. Vale destacar que ações penais em curso ou condenações transitadas em julgado não podem ser utilizadas para desvalorar a conduta social ou a personalidade, consoante entendimento pacificado do Superior Tribunal de Justiça</w:t>
      </w:r>
      <w:r>
        <w:t xml:space="preserve">. </w:t>
      </w:r>
    </w:p>
    <w:p w14:paraId="454BFF62" w14:textId="77777777" w:rsidR="00C66651" w:rsidRDefault="00C66651" w:rsidP="00251EF9">
      <w:pPr>
        <w:pStyle w:val="Corpodetexto"/>
        <w:spacing w:line="360" w:lineRule="auto"/>
        <w:ind w:right="137" w:firstLine="709"/>
        <w:jc w:val="both"/>
      </w:pPr>
    </w:p>
    <w:p w14:paraId="4198A302" w14:textId="1DE65295" w:rsidR="00251EF9" w:rsidRDefault="00251EF9" w:rsidP="00251EF9">
      <w:pPr>
        <w:pStyle w:val="Corpodetexto"/>
        <w:spacing w:line="360" w:lineRule="auto"/>
        <w:ind w:right="137" w:firstLine="709"/>
        <w:jc w:val="both"/>
      </w:pPr>
      <w:r>
        <w:t>Os motivos do crime são os inerentes à espécie. Nada se tem a sopesar sobre as circunstâncias do delito. As consequências foram as comuns ao tipo penal. Nesses termos, a pena-base deverá ser fixada no patamar mínimo previsto em lei.</w:t>
      </w:r>
    </w:p>
    <w:p w14:paraId="27FAD773" w14:textId="5D282EE4" w:rsidR="008B0C1B" w:rsidRDefault="008B0C1B" w:rsidP="00251EF9">
      <w:pPr>
        <w:pStyle w:val="Corpodetexto"/>
        <w:spacing w:line="360" w:lineRule="auto"/>
        <w:ind w:right="137" w:firstLine="709"/>
        <w:jc w:val="both"/>
      </w:pPr>
    </w:p>
    <w:p w14:paraId="02B7B1EA" w14:textId="69C7F785" w:rsidR="00251EF9" w:rsidRDefault="008B0C1B" w:rsidP="00251EF9">
      <w:pPr>
        <w:pStyle w:val="Corpodetexto"/>
        <w:spacing w:line="360" w:lineRule="auto"/>
        <w:ind w:right="137" w:firstLine="709"/>
        <w:jc w:val="both"/>
      </w:pPr>
      <w:r w:rsidRPr="00A726CF">
        <w:rPr>
          <w:color w:val="FF0000"/>
        </w:rPr>
        <w:t>O acusado era primário à época dos fatos, devendo ser afastados os efeitos da reincidência.</w:t>
      </w:r>
      <w:r>
        <w:t xml:space="preserve"> </w:t>
      </w:r>
    </w:p>
    <w:p w14:paraId="39E832D1" w14:textId="1BF24AFA" w:rsidR="004D78F5" w:rsidRDefault="004D78F5" w:rsidP="00251EF9">
      <w:pPr>
        <w:pStyle w:val="Corpodetexto"/>
        <w:spacing w:line="360" w:lineRule="auto"/>
        <w:ind w:right="137" w:firstLine="709"/>
        <w:jc w:val="both"/>
      </w:pPr>
    </w:p>
    <w:p w14:paraId="513E2699" w14:textId="77777777" w:rsidR="00301060" w:rsidRDefault="00301060" w:rsidP="009B5B8E">
      <w:pPr>
        <w:spacing w:after="0" w:line="360" w:lineRule="auto"/>
        <w:ind w:firstLine="709"/>
        <w:jc w:val="both"/>
        <w:rPr>
          <w:rFonts w:ascii="Times New Roman" w:eastAsia="Times New Roman" w:hAnsi="Times New Roman" w:cs="Times New Roman"/>
          <w:color w:val="000000"/>
          <w:sz w:val="24"/>
          <w:szCs w:val="24"/>
          <w:lang w:eastAsia="pt-BR"/>
        </w:rPr>
      </w:pPr>
    </w:p>
    <w:p w14:paraId="07403DE5" w14:textId="63023C65" w:rsidR="00047E91" w:rsidRPr="00893AEB" w:rsidRDefault="00047E91" w:rsidP="004C414F">
      <w:pPr>
        <w:pStyle w:val="PargrafodaLista"/>
        <w:numPr>
          <w:ilvl w:val="0"/>
          <w:numId w:val="2"/>
        </w:numPr>
        <w:shd w:val="clear" w:color="auto" w:fill="C5E0B3" w:themeFill="accent6" w:themeFillTint="66"/>
        <w:spacing w:after="0" w:line="360" w:lineRule="auto"/>
        <w:ind w:left="0" w:firstLine="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DOS PEDIDOS</w:t>
      </w:r>
    </w:p>
    <w:p w14:paraId="731E4598" w14:textId="77777777" w:rsidR="004C414F" w:rsidRDefault="004C414F" w:rsidP="004C414F">
      <w:pPr>
        <w:spacing w:after="0" w:line="360" w:lineRule="auto"/>
        <w:ind w:firstLine="709"/>
        <w:jc w:val="both"/>
        <w:rPr>
          <w:rFonts w:ascii="Times New Roman" w:eastAsia="Times New Roman" w:hAnsi="Times New Roman" w:cs="Times New Roman"/>
          <w:color w:val="000000"/>
          <w:sz w:val="24"/>
          <w:szCs w:val="24"/>
          <w:lang w:eastAsia="pt-BR"/>
        </w:rPr>
      </w:pPr>
    </w:p>
    <w:p w14:paraId="322706C0" w14:textId="46E24FDA" w:rsidR="00EA6882" w:rsidRDefault="00EA6882" w:rsidP="00464BF6">
      <w:pPr>
        <w:spacing w:after="12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Ante o exposto, requer a defesa:</w:t>
      </w:r>
    </w:p>
    <w:p w14:paraId="4273794F" w14:textId="35E18D8D" w:rsidR="008B0C1B" w:rsidRDefault="004D78F5" w:rsidP="009F744C">
      <w:pPr>
        <w:pStyle w:val="PargrafodaLista"/>
        <w:numPr>
          <w:ilvl w:val="0"/>
          <w:numId w:val="5"/>
        </w:numPr>
        <w:spacing w:after="120" w:line="360" w:lineRule="auto"/>
        <w:jc w:val="both"/>
        <w:rPr>
          <w:rFonts w:ascii="Times New Roman" w:eastAsia="Times New Roman" w:hAnsi="Times New Roman" w:cs="Times New Roman"/>
          <w:color w:val="000000"/>
          <w:sz w:val="24"/>
          <w:szCs w:val="24"/>
          <w:lang w:eastAsia="pt-BR"/>
        </w:rPr>
      </w:pPr>
      <w:r w:rsidRPr="008B0C1B">
        <w:rPr>
          <w:rFonts w:ascii="Times New Roman" w:eastAsia="Times New Roman" w:hAnsi="Times New Roman" w:cs="Times New Roman"/>
          <w:color w:val="000000"/>
          <w:sz w:val="24"/>
          <w:szCs w:val="24"/>
          <w:lang w:eastAsia="pt-BR"/>
        </w:rPr>
        <w:t>A absolvição do acusado</w:t>
      </w:r>
      <w:r w:rsidR="008B0C1B">
        <w:rPr>
          <w:rFonts w:ascii="Times New Roman" w:eastAsia="Times New Roman" w:hAnsi="Times New Roman" w:cs="Times New Roman"/>
          <w:color w:val="000000"/>
          <w:sz w:val="24"/>
          <w:szCs w:val="24"/>
          <w:lang w:eastAsia="pt-BR"/>
        </w:rPr>
        <w:t xml:space="preserve">, tendo em vista que as provas acusatórias se </w:t>
      </w:r>
      <w:r w:rsidR="004C414F" w:rsidRPr="008B0C1B">
        <w:rPr>
          <w:rFonts w:ascii="Times New Roman" w:eastAsia="Times New Roman" w:hAnsi="Times New Roman" w:cs="Times New Roman"/>
          <w:color w:val="000000"/>
          <w:sz w:val="24"/>
          <w:szCs w:val="24"/>
          <w:lang w:eastAsia="pt-BR"/>
        </w:rPr>
        <w:t>ampara</w:t>
      </w:r>
      <w:r w:rsidR="008B0C1B">
        <w:rPr>
          <w:rFonts w:ascii="Times New Roman" w:eastAsia="Times New Roman" w:hAnsi="Times New Roman" w:cs="Times New Roman"/>
          <w:color w:val="000000"/>
          <w:sz w:val="24"/>
          <w:szCs w:val="24"/>
          <w:lang w:eastAsia="pt-BR"/>
        </w:rPr>
        <w:t>m</w:t>
      </w:r>
      <w:r w:rsidR="004C414F" w:rsidRPr="008B0C1B">
        <w:rPr>
          <w:rFonts w:ascii="Times New Roman" w:eastAsia="Times New Roman" w:hAnsi="Times New Roman" w:cs="Times New Roman"/>
          <w:color w:val="000000"/>
          <w:sz w:val="24"/>
          <w:szCs w:val="24"/>
          <w:lang w:eastAsia="pt-BR"/>
        </w:rPr>
        <w:t xml:space="preserve"> exclusivamente no reconhecimento fotográfico realizado em sede extrajudicial, em desacordo com a jurisprudência do TJDFT e do STJ</w:t>
      </w:r>
      <w:r w:rsidR="002B4575">
        <w:rPr>
          <w:rFonts w:ascii="Times New Roman" w:eastAsia="Times New Roman" w:hAnsi="Times New Roman" w:cs="Times New Roman"/>
          <w:color w:val="000000"/>
          <w:sz w:val="24"/>
          <w:szCs w:val="24"/>
          <w:lang w:eastAsia="pt-BR"/>
        </w:rPr>
        <w:t>;</w:t>
      </w:r>
    </w:p>
    <w:p w14:paraId="2009752C" w14:textId="4A1D2435" w:rsidR="00E70ECE" w:rsidRPr="00917F84" w:rsidRDefault="00C66651" w:rsidP="003A2558">
      <w:pPr>
        <w:pStyle w:val="PargrafodaLista"/>
        <w:numPr>
          <w:ilvl w:val="0"/>
          <w:numId w:val="5"/>
        </w:numPr>
        <w:spacing w:after="120" w:line="360" w:lineRule="auto"/>
        <w:jc w:val="both"/>
        <w:rPr>
          <w:rFonts w:ascii="Times New Roman" w:eastAsia="Times New Roman" w:hAnsi="Times New Roman" w:cs="Times New Roman"/>
          <w:color w:val="000000"/>
          <w:sz w:val="24"/>
          <w:szCs w:val="24"/>
          <w:lang w:eastAsia="pt-BR"/>
        </w:rPr>
      </w:pPr>
      <w:r w:rsidRPr="00917F84">
        <w:rPr>
          <w:rFonts w:ascii="Times New Roman" w:eastAsia="Times New Roman" w:hAnsi="Times New Roman" w:cs="Times New Roman"/>
          <w:color w:val="000000"/>
          <w:sz w:val="24"/>
          <w:szCs w:val="24"/>
          <w:lang w:eastAsia="pt-BR"/>
        </w:rPr>
        <w:t xml:space="preserve">Subsidiariamente, </w:t>
      </w:r>
      <w:r w:rsidR="002B4575" w:rsidRPr="00917F84">
        <w:rPr>
          <w:rFonts w:ascii="Times New Roman" w:eastAsia="Times New Roman" w:hAnsi="Times New Roman" w:cs="Times New Roman"/>
          <w:color w:val="000000"/>
          <w:sz w:val="24"/>
          <w:szCs w:val="24"/>
          <w:lang w:eastAsia="pt-BR"/>
        </w:rPr>
        <w:t>a</w:t>
      </w:r>
      <w:r w:rsidR="00251EF9" w:rsidRPr="00917F84">
        <w:rPr>
          <w:rFonts w:ascii="Times New Roman" w:eastAsia="Times New Roman" w:hAnsi="Times New Roman" w:cs="Times New Roman"/>
          <w:color w:val="000000"/>
          <w:sz w:val="24"/>
          <w:szCs w:val="24"/>
          <w:lang w:eastAsia="pt-BR"/>
        </w:rPr>
        <w:t xml:space="preserve"> fixação </w:t>
      </w:r>
      <w:r w:rsidR="008E5907" w:rsidRPr="00917F84">
        <w:rPr>
          <w:rFonts w:ascii="Times New Roman" w:eastAsia="Times New Roman" w:hAnsi="Times New Roman" w:cs="Times New Roman"/>
          <w:color w:val="000000"/>
          <w:sz w:val="24"/>
          <w:szCs w:val="24"/>
          <w:lang w:eastAsia="pt-BR"/>
        </w:rPr>
        <w:t>da pena no mínimo legal</w:t>
      </w:r>
      <w:r w:rsidR="00917F84">
        <w:rPr>
          <w:rFonts w:ascii="Times New Roman" w:eastAsia="Times New Roman" w:hAnsi="Times New Roman" w:cs="Times New Roman"/>
          <w:color w:val="000000"/>
          <w:sz w:val="24"/>
          <w:szCs w:val="24"/>
          <w:lang w:eastAsia="pt-BR"/>
        </w:rPr>
        <w:t xml:space="preserve">, </w:t>
      </w:r>
      <w:r w:rsidR="00917F84" w:rsidRPr="00917F84">
        <w:rPr>
          <w:rFonts w:ascii="Times New Roman" w:eastAsia="Times New Roman" w:hAnsi="Times New Roman" w:cs="Times New Roman"/>
          <w:color w:val="FF0000"/>
          <w:sz w:val="24"/>
          <w:szCs w:val="24"/>
          <w:lang w:eastAsia="pt-BR"/>
        </w:rPr>
        <w:t>com o afastamento dos efeitos da reincidência</w:t>
      </w:r>
      <w:r w:rsidR="004D78F5" w:rsidRPr="00917F84">
        <w:rPr>
          <w:rFonts w:ascii="Times New Roman" w:eastAsia="Times New Roman" w:hAnsi="Times New Roman" w:cs="Times New Roman"/>
          <w:color w:val="000000"/>
          <w:sz w:val="24"/>
          <w:szCs w:val="24"/>
          <w:lang w:eastAsia="pt-BR"/>
        </w:rPr>
        <w:t>.</w:t>
      </w:r>
    </w:p>
    <w:p w14:paraId="222AA6B9" w14:textId="77777777" w:rsidR="002B4575" w:rsidRPr="004C414F" w:rsidRDefault="002B4575" w:rsidP="009A03CE">
      <w:pPr>
        <w:pStyle w:val="PargrafodaLista"/>
        <w:spacing w:after="120" w:line="360" w:lineRule="auto"/>
        <w:ind w:left="1069"/>
        <w:jc w:val="both"/>
        <w:rPr>
          <w:rFonts w:ascii="Times New Roman" w:eastAsia="Times New Roman" w:hAnsi="Times New Roman" w:cs="Times New Roman"/>
          <w:color w:val="000000"/>
          <w:sz w:val="24"/>
          <w:szCs w:val="24"/>
          <w:lang w:eastAsia="pt-BR"/>
        </w:rPr>
      </w:pPr>
    </w:p>
    <w:p w14:paraId="5A40D720" w14:textId="2A92C56D" w:rsidR="00EA6882" w:rsidRDefault="00E70ECE" w:rsidP="00472B56">
      <w:pPr>
        <w:spacing w:after="120" w:line="293" w:lineRule="atLeast"/>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Com os elogios de estilo, pede deferimento.</w:t>
      </w:r>
    </w:p>
    <w:p w14:paraId="5BACBCB0" w14:textId="77777777" w:rsidR="00464BF6" w:rsidRDefault="00464BF6" w:rsidP="00472B56">
      <w:pPr>
        <w:spacing w:after="120" w:line="293" w:lineRule="atLeast"/>
        <w:ind w:firstLine="709"/>
        <w:jc w:val="both"/>
        <w:rPr>
          <w:rFonts w:ascii="Times New Roman" w:eastAsia="Times New Roman" w:hAnsi="Times New Roman" w:cs="Times New Roman"/>
          <w:color w:val="000000"/>
          <w:sz w:val="24"/>
          <w:szCs w:val="24"/>
          <w:lang w:eastAsia="pt-BR"/>
        </w:rPr>
      </w:pPr>
    </w:p>
    <w:p w14:paraId="24911F7C" w14:textId="7A26731A" w:rsidR="00472B56" w:rsidRPr="00472B56" w:rsidRDefault="00917F84" w:rsidP="00472B56">
      <w:pPr>
        <w:spacing w:after="120" w:line="293" w:lineRule="atLeast"/>
        <w:ind w:firstLine="709"/>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4"/>
          <w:szCs w:val="24"/>
          <w:lang w:eastAsia="pt-BR"/>
        </w:rPr>
        <w:t>Local, Data</w:t>
      </w:r>
      <w:r w:rsidR="00472B56" w:rsidRPr="00472B56">
        <w:rPr>
          <w:rFonts w:ascii="Times New Roman" w:eastAsia="Times New Roman" w:hAnsi="Times New Roman" w:cs="Times New Roman"/>
          <w:color w:val="000000"/>
          <w:sz w:val="24"/>
          <w:szCs w:val="24"/>
          <w:lang w:eastAsia="pt-BR"/>
        </w:rPr>
        <w:t>.</w:t>
      </w:r>
    </w:p>
    <w:p w14:paraId="7426F286" w14:textId="594ADB6D" w:rsidR="00651FD8" w:rsidRDefault="00651FD8" w:rsidP="00472B56">
      <w:pPr>
        <w:spacing w:after="120" w:line="293" w:lineRule="atLeast"/>
        <w:ind w:firstLine="709"/>
        <w:jc w:val="center"/>
        <w:rPr>
          <w:rFonts w:ascii="Times New Roman" w:eastAsia="Times New Roman" w:hAnsi="Times New Roman" w:cs="Times New Roman"/>
          <w:color w:val="000000"/>
          <w:sz w:val="20"/>
          <w:szCs w:val="20"/>
          <w:lang w:eastAsia="pt-BR"/>
        </w:rPr>
      </w:pPr>
    </w:p>
    <w:p w14:paraId="27D0C4BC" w14:textId="77777777" w:rsidR="002B4575" w:rsidRPr="00472B56" w:rsidRDefault="002B4575" w:rsidP="00472B56">
      <w:pPr>
        <w:spacing w:after="120" w:line="293" w:lineRule="atLeast"/>
        <w:ind w:firstLine="709"/>
        <w:jc w:val="center"/>
        <w:rPr>
          <w:rFonts w:ascii="Times New Roman" w:eastAsia="Times New Roman" w:hAnsi="Times New Roman" w:cs="Times New Roman"/>
          <w:color w:val="000000"/>
          <w:sz w:val="20"/>
          <w:szCs w:val="20"/>
          <w:lang w:eastAsia="pt-BR"/>
        </w:rPr>
      </w:pPr>
    </w:p>
    <w:p w14:paraId="545340E2" w14:textId="3EB49FF8" w:rsidR="00472B56" w:rsidRPr="00251EF9" w:rsidRDefault="00472B56" w:rsidP="00251EF9">
      <w:pPr>
        <w:spacing w:after="0" w:line="240" w:lineRule="auto"/>
        <w:jc w:val="center"/>
        <w:rPr>
          <w:rFonts w:ascii="Times New Roman" w:eastAsia="Times New Roman" w:hAnsi="Times New Roman" w:cs="Times New Roman"/>
          <w:b/>
          <w:bCs/>
          <w:color w:val="000000"/>
          <w:sz w:val="20"/>
          <w:szCs w:val="20"/>
          <w:lang w:eastAsia="pt-BR"/>
        </w:rPr>
      </w:pPr>
      <w:r w:rsidRPr="00472B56">
        <w:rPr>
          <w:rFonts w:ascii="Times New Roman" w:eastAsia="Times New Roman" w:hAnsi="Times New Roman" w:cs="Times New Roman"/>
          <w:b/>
          <w:bCs/>
          <w:color w:val="000000"/>
          <w:sz w:val="24"/>
          <w:szCs w:val="24"/>
          <w:lang w:eastAsia="pt-BR"/>
        </w:rPr>
        <w:t>Defensor Público</w:t>
      </w:r>
      <w:r w:rsidR="00917F84">
        <w:rPr>
          <w:rFonts w:ascii="Times New Roman" w:eastAsia="Times New Roman" w:hAnsi="Times New Roman" w:cs="Times New Roman"/>
          <w:b/>
          <w:bCs/>
          <w:color w:val="000000"/>
          <w:sz w:val="24"/>
          <w:szCs w:val="24"/>
          <w:lang w:eastAsia="pt-BR"/>
        </w:rPr>
        <w:t xml:space="preserve"> do Distrito Federal</w:t>
      </w:r>
    </w:p>
    <w:sectPr w:rsidR="00472B56" w:rsidRPr="00251EF9" w:rsidSect="0059268B">
      <w:headerReference w:type="default" r:id="rId7"/>
      <w:footerReference w:type="default" r:id="rId8"/>
      <w:pgSz w:w="11906" w:h="16838"/>
      <w:pgMar w:top="2845" w:right="1701" w:bottom="1276" w:left="1701" w:header="708"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B18B" w14:textId="77777777" w:rsidR="00A26C69" w:rsidRDefault="00A26C69" w:rsidP="00472B56">
      <w:pPr>
        <w:spacing w:after="0" w:line="240" w:lineRule="auto"/>
      </w:pPr>
      <w:r>
        <w:separator/>
      </w:r>
    </w:p>
  </w:endnote>
  <w:endnote w:type="continuationSeparator" w:id="0">
    <w:p w14:paraId="2E43C6F2" w14:textId="77777777" w:rsidR="00A26C69" w:rsidRDefault="00A26C69" w:rsidP="0047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95906"/>
      <w:docPartObj>
        <w:docPartGallery w:val="Page Numbers (Bottom of Page)"/>
        <w:docPartUnique/>
      </w:docPartObj>
    </w:sdtPr>
    <w:sdtEndPr>
      <w:rPr>
        <w:rFonts w:ascii="Times New Roman" w:hAnsi="Times New Roman" w:cs="Times New Roman"/>
        <w:sz w:val="24"/>
        <w:szCs w:val="24"/>
      </w:rPr>
    </w:sdtEndPr>
    <w:sdtContent>
      <w:p w14:paraId="6CA5A08E" w14:textId="15CBBDF0" w:rsidR="009E6A9A" w:rsidRPr="009E6A9A" w:rsidRDefault="009E6A9A" w:rsidP="009E6A9A">
        <w:pPr>
          <w:pStyle w:val="Rodap"/>
          <w:pBdr>
            <w:bottom w:val="single" w:sz="12" w:space="1" w:color="auto"/>
          </w:pBdr>
          <w:rPr>
            <w:rFonts w:ascii="Times New Roman" w:hAnsi="Times New Roman" w:cs="Times New Roman"/>
            <w:sz w:val="20"/>
            <w:szCs w:val="20"/>
          </w:rPr>
        </w:pPr>
      </w:p>
      <w:p w14:paraId="44F47511" w14:textId="1CE8F840" w:rsidR="009E6A9A" w:rsidRPr="007A5BC6" w:rsidRDefault="007A5BC6" w:rsidP="009E6A9A">
        <w:pPr>
          <w:spacing w:after="0" w:line="240" w:lineRule="auto"/>
          <w:ind w:left="20"/>
          <w:jc w:val="center"/>
          <w:rPr>
            <w:rFonts w:ascii="Times New Roman" w:hAnsi="Times New Roman" w:cs="Times New Roman"/>
            <w:b/>
            <w:color w:val="FF0000"/>
            <w:sz w:val="20"/>
            <w:szCs w:val="20"/>
          </w:rPr>
        </w:pPr>
        <w:r w:rsidRPr="007A5BC6">
          <w:rPr>
            <w:rFonts w:ascii="Times New Roman" w:hAnsi="Times New Roman" w:cs="Times New Roman"/>
            <w:b/>
            <w:color w:val="FF0000"/>
            <w:sz w:val="20"/>
            <w:szCs w:val="20"/>
          </w:rPr>
          <w:t>RODAPÉ</w:t>
        </w:r>
      </w:p>
      <w:p w14:paraId="30885E62" w14:textId="5BA61486" w:rsidR="007A5BC6" w:rsidRPr="007A5BC6" w:rsidRDefault="007A5BC6" w:rsidP="009E6A9A">
        <w:pPr>
          <w:spacing w:after="0" w:line="240" w:lineRule="auto"/>
          <w:ind w:left="20"/>
          <w:jc w:val="center"/>
          <w:rPr>
            <w:rFonts w:ascii="Times New Roman" w:hAnsi="Times New Roman" w:cs="Times New Roman"/>
            <w:bCs/>
            <w:color w:val="FF0000"/>
            <w:sz w:val="20"/>
            <w:szCs w:val="20"/>
          </w:rPr>
        </w:pPr>
        <w:r w:rsidRPr="007A5BC6">
          <w:rPr>
            <w:rFonts w:ascii="Times New Roman" w:hAnsi="Times New Roman" w:cs="Times New Roman"/>
            <w:b/>
            <w:color w:val="FF0000"/>
            <w:sz w:val="20"/>
            <w:szCs w:val="20"/>
          </w:rPr>
          <w:t>DADOS DO NÚCLEO</w:t>
        </w:r>
      </w:p>
      <w:p w14:paraId="16A63343" w14:textId="713BE285" w:rsidR="00893AEB" w:rsidRPr="00893AEB" w:rsidRDefault="00893AEB">
        <w:pPr>
          <w:pStyle w:val="Rodap"/>
          <w:jc w:val="right"/>
          <w:rPr>
            <w:rFonts w:ascii="Times New Roman" w:hAnsi="Times New Roman" w:cs="Times New Roman"/>
            <w:sz w:val="24"/>
            <w:szCs w:val="24"/>
          </w:rPr>
        </w:pPr>
        <w:r w:rsidRPr="009E6A9A">
          <w:rPr>
            <w:rFonts w:ascii="Times New Roman" w:hAnsi="Times New Roman" w:cs="Times New Roman"/>
            <w:sz w:val="20"/>
            <w:szCs w:val="20"/>
          </w:rPr>
          <w:fldChar w:fldCharType="begin"/>
        </w:r>
        <w:r w:rsidRPr="009E6A9A">
          <w:rPr>
            <w:rFonts w:ascii="Times New Roman" w:hAnsi="Times New Roman" w:cs="Times New Roman"/>
            <w:sz w:val="20"/>
            <w:szCs w:val="20"/>
          </w:rPr>
          <w:instrText>PAGE   \* MERGEFORMAT</w:instrText>
        </w:r>
        <w:r w:rsidRPr="009E6A9A">
          <w:rPr>
            <w:rFonts w:ascii="Times New Roman" w:hAnsi="Times New Roman" w:cs="Times New Roman"/>
            <w:sz w:val="20"/>
            <w:szCs w:val="20"/>
          </w:rPr>
          <w:fldChar w:fldCharType="separate"/>
        </w:r>
        <w:r w:rsidRPr="009E6A9A">
          <w:rPr>
            <w:rFonts w:ascii="Times New Roman" w:hAnsi="Times New Roman" w:cs="Times New Roman"/>
            <w:sz w:val="20"/>
            <w:szCs w:val="20"/>
          </w:rPr>
          <w:t>2</w:t>
        </w:r>
        <w:r w:rsidRPr="009E6A9A">
          <w:rPr>
            <w:rFonts w:ascii="Times New Roman" w:hAnsi="Times New Roman" w:cs="Times New Roman"/>
            <w:sz w:val="20"/>
            <w:szCs w:val="20"/>
          </w:rPr>
          <w:fldChar w:fldCharType="end"/>
        </w:r>
      </w:p>
    </w:sdtContent>
  </w:sdt>
  <w:p w14:paraId="686C1040" w14:textId="77777777" w:rsidR="00893AEB" w:rsidRDefault="00893A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69B3" w14:textId="77777777" w:rsidR="00A26C69" w:rsidRDefault="00A26C69" w:rsidP="00472B56">
      <w:pPr>
        <w:spacing w:after="0" w:line="240" w:lineRule="auto"/>
      </w:pPr>
      <w:r>
        <w:separator/>
      </w:r>
    </w:p>
  </w:footnote>
  <w:footnote w:type="continuationSeparator" w:id="0">
    <w:p w14:paraId="656966DE" w14:textId="77777777" w:rsidR="00A26C69" w:rsidRDefault="00A26C69" w:rsidP="00472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47A4" w14:textId="5DE28352" w:rsidR="00472B56" w:rsidRDefault="00047E91" w:rsidP="00472B56">
    <w:pPr>
      <w:pStyle w:val="Cabealho"/>
      <w:jc w:val="center"/>
      <w:rPr>
        <w:rFonts w:ascii="Times New Roman" w:eastAsia="Times New Roman" w:hAnsi="Times New Roman" w:cs="Times New Roman"/>
        <w:b/>
        <w:bCs/>
        <w:caps/>
        <w:noProof/>
        <w:color w:val="454545"/>
        <w:sz w:val="24"/>
        <w:szCs w:val="24"/>
        <w:lang w:eastAsia="pt-BR"/>
      </w:rPr>
    </w:pPr>
    <w:r>
      <w:rPr>
        <w:noProof/>
      </w:rPr>
      <w:drawing>
        <wp:inline distT="0" distB="0" distL="0" distR="0" wp14:anchorId="1DC8D86D" wp14:editId="18795CFB">
          <wp:extent cx="1109905" cy="1047750"/>
          <wp:effectExtent l="0" t="0" r="0" b="0"/>
          <wp:docPr id="5" name="Imagem 5" descr="Concurso Público da Defensoria Pública - DF é retif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urso Público da Defensoria Pública - DF é retific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62" cy="1051391"/>
                  </a:xfrm>
                  <a:prstGeom prst="rect">
                    <a:avLst/>
                  </a:prstGeom>
                  <a:noFill/>
                  <a:ln>
                    <a:noFill/>
                  </a:ln>
                </pic:spPr>
              </pic:pic>
            </a:graphicData>
          </a:graphic>
        </wp:inline>
      </w:drawing>
    </w:r>
  </w:p>
  <w:p w14:paraId="55D4D48D" w14:textId="4B9D07A1" w:rsidR="00047E91" w:rsidRPr="00047E91" w:rsidRDefault="00047E91" w:rsidP="00472B56">
    <w:pPr>
      <w:pStyle w:val="Cabealho"/>
      <w:jc w:val="center"/>
      <w:rPr>
        <w:color w:val="808080" w:themeColor="background1" w:themeShade="80"/>
        <w:sz w:val="20"/>
        <w:szCs w:val="20"/>
      </w:rPr>
    </w:pPr>
    <w:r w:rsidRPr="00047E91">
      <w:rPr>
        <w:rFonts w:ascii="Times New Roman" w:eastAsia="Times New Roman" w:hAnsi="Times New Roman" w:cs="Times New Roman"/>
        <w:b/>
        <w:bCs/>
        <w:caps/>
        <w:noProof/>
        <w:color w:val="808080" w:themeColor="background1" w:themeShade="80"/>
        <w:lang w:eastAsia="pt-BR"/>
      </w:rPr>
      <w:t>DEFENSORIA PÚBLICA DO DISTRITO FEDERAL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35D9"/>
    <w:multiLevelType w:val="hybridMultilevel"/>
    <w:tmpl w:val="E2D2498C"/>
    <w:lvl w:ilvl="0" w:tplc="F6E412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C5258EC"/>
    <w:multiLevelType w:val="hybridMultilevel"/>
    <w:tmpl w:val="EAD0ED06"/>
    <w:lvl w:ilvl="0" w:tplc="9FDC3894">
      <w:start w:val="1"/>
      <w:numFmt w:val="decimal"/>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 w15:restartNumberingAfterBreak="0">
    <w:nsid w:val="195D489C"/>
    <w:multiLevelType w:val="hybridMultilevel"/>
    <w:tmpl w:val="26644AFE"/>
    <w:lvl w:ilvl="0" w:tplc="0212B1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58815FC"/>
    <w:multiLevelType w:val="hybridMultilevel"/>
    <w:tmpl w:val="E208E41A"/>
    <w:lvl w:ilvl="0" w:tplc="88140A7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2F841871"/>
    <w:multiLevelType w:val="hybridMultilevel"/>
    <w:tmpl w:val="2DD81F8C"/>
    <w:lvl w:ilvl="0" w:tplc="AB80DA5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383B0078"/>
    <w:multiLevelType w:val="hybridMultilevel"/>
    <w:tmpl w:val="FD5691B2"/>
    <w:lvl w:ilvl="0" w:tplc="9F5ABE60">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9DB36E3"/>
    <w:multiLevelType w:val="hybridMultilevel"/>
    <w:tmpl w:val="85CC87CC"/>
    <w:lvl w:ilvl="0" w:tplc="742AD1D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D9B6BB2"/>
    <w:multiLevelType w:val="hybridMultilevel"/>
    <w:tmpl w:val="18D60F02"/>
    <w:lvl w:ilvl="0" w:tplc="0E48367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E990E31"/>
    <w:multiLevelType w:val="hybridMultilevel"/>
    <w:tmpl w:val="6CEAABC6"/>
    <w:lvl w:ilvl="0" w:tplc="07165B2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49824A4"/>
    <w:multiLevelType w:val="hybridMultilevel"/>
    <w:tmpl w:val="80F6EF24"/>
    <w:lvl w:ilvl="0" w:tplc="2D92AB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5A261AD3"/>
    <w:multiLevelType w:val="hybridMultilevel"/>
    <w:tmpl w:val="6BACFFAA"/>
    <w:lvl w:ilvl="0" w:tplc="19540BF0">
      <w:start w:val="3"/>
      <w:numFmt w:val="bullet"/>
      <w:lvlText w:val=""/>
      <w:lvlJc w:val="left"/>
      <w:pPr>
        <w:ind w:left="1069" w:hanging="360"/>
      </w:pPr>
      <w:rPr>
        <w:rFonts w:ascii="Wingdings" w:eastAsia="Times New Roman" w:hAnsi="Wingdings"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537667580">
    <w:abstractNumId w:val="1"/>
  </w:num>
  <w:num w:numId="2" w16cid:durableId="2001033738">
    <w:abstractNumId w:val="5"/>
  </w:num>
  <w:num w:numId="3" w16cid:durableId="1174494199">
    <w:abstractNumId w:val="3"/>
  </w:num>
  <w:num w:numId="4" w16cid:durableId="91751032">
    <w:abstractNumId w:val="7"/>
  </w:num>
  <w:num w:numId="5" w16cid:durableId="853616981">
    <w:abstractNumId w:val="6"/>
  </w:num>
  <w:num w:numId="6" w16cid:durableId="1219436040">
    <w:abstractNumId w:val="4"/>
  </w:num>
  <w:num w:numId="7" w16cid:durableId="1807238112">
    <w:abstractNumId w:val="9"/>
  </w:num>
  <w:num w:numId="8" w16cid:durableId="1648052908">
    <w:abstractNumId w:val="8"/>
  </w:num>
  <w:num w:numId="9" w16cid:durableId="1521122199">
    <w:abstractNumId w:val="2"/>
  </w:num>
  <w:num w:numId="10" w16cid:durableId="588736449">
    <w:abstractNumId w:val="0"/>
  </w:num>
  <w:num w:numId="11" w16cid:durableId="309554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56"/>
    <w:rsid w:val="00003CCC"/>
    <w:rsid w:val="000156AC"/>
    <w:rsid w:val="00033AF5"/>
    <w:rsid w:val="00036479"/>
    <w:rsid w:val="00047E91"/>
    <w:rsid w:val="00054553"/>
    <w:rsid w:val="00095435"/>
    <w:rsid w:val="000B2107"/>
    <w:rsid w:val="000B2ADC"/>
    <w:rsid w:val="000B4DE4"/>
    <w:rsid w:val="000C7C4D"/>
    <w:rsid w:val="000E1DF1"/>
    <w:rsid w:val="000E25E1"/>
    <w:rsid w:val="000E3E22"/>
    <w:rsid w:val="000F259D"/>
    <w:rsid w:val="000F2C03"/>
    <w:rsid w:val="00103E39"/>
    <w:rsid w:val="001061E3"/>
    <w:rsid w:val="001108E0"/>
    <w:rsid w:val="0011213D"/>
    <w:rsid w:val="001156E5"/>
    <w:rsid w:val="00115C53"/>
    <w:rsid w:val="00132CCB"/>
    <w:rsid w:val="00145D77"/>
    <w:rsid w:val="00147A17"/>
    <w:rsid w:val="00156075"/>
    <w:rsid w:val="00163899"/>
    <w:rsid w:val="0016697B"/>
    <w:rsid w:val="00167899"/>
    <w:rsid w:val="001679C9"/>
    <w:rsid w:val="00172650"/>
    <w:rsid w:val="00185105"/>
    <w:rsid w:val="00192B64"/>
    <w:rsid w:val="001965F7"/>
    <w:rsid w:val="00197ED7"/>
    <w:rsid w:val="001A3542"/>
    <w:rsid w:val="001B3435"/>
    <w:rsid w:val="001C1D4E"/>
    <w:rsid w:val="001E2F43"/>
    <w:rsid w:val="001F3EFE"/>
    <w:rsid w:val="00206056"/>
    <w:rsid w:val="0022291B"/>
    <w:rsid w:val="00236E43"/>
    <w:rsid w:val="00240416"/>
    <w:rsid w:val="00251EF9"/>
    <w:rsid w:val="00266B01"/>
    <w:rsid w:val="00267085"/>
    <w:rsid w:val="002870DA"/>
    <w:rsid w:val="002918A2"/>
    <w:rsid w:val="002A1945"/>
    <w:rsid w:val="002A2EC5"/>
    <w:rsid w:val="002A309A"/>
    <w:rsid w:val="002B16B1"/>
    <w:rsid w:val="002B371A"/>
    <w:rsid w:val="002B4575"/>
    <w:rsid w:val="002C66B4"/>
    <w:rsid w:val="002C7577"/>
    <w:rsid w:val="002E494D"/>
    <w:rsid w:val="002E603C"/>
    <w:rsid w:val="002F2799"/>
    <w:rsid w:val="00300EAC"/>
    <w:rsid w:val="00301060"/>
    <w:rsid w:val="003126A8"/>
    <w:rsid w:val="00334EDB"/>
    <w:rsid w:val="00343D89"/>
    <w:rsid w:val="003450FA"/>
    <w:rsid w:val="00352847"/>
    <w:rsid w:val="00356109"/>
    <w:rsid w:val="00362094"/>
    <w:rsid w:val="00362C12"/>
    <w:rsid w:val="00373693"/>
    <w:rsid w:val="003737AE"/>
    <w:rsid w:val="00395204"/>
    <w:rsid w:val="00395981"/>
    <w:rsid w:val="003B6A43"/>
    <w:rsid w:val="003C7145"/>
    <w:rsid w:val="003D1E2A"/>
    <w:rsid w:val="003D4C40"/>
    <w:rsid w:val="003D70F9"/>
    <w:rsid w:val="003E290A"/>
    <w:rsid w:val="003F6240"/>
    <w:rsid w:val="004100C7"/>
    <w:rsid w:val="00417D7E"/>
    <w:rsid w:val="004268D9"/>
    <w:rsid w:val="00435BCA"/>
    <w:rsid w:val="00442A0F"/>
    <w:rsid w:val="00446AD6"/>
    <w:rsid w:val="00450179"/>
    <w:rsid w:val="00464BF6"/>
    <w:rsid w:val="00467165"/>
    <w:rsid w:val="00472B56"/>
    <w:rsid w:val="00477FF1"/>
    <w:rsid w:val="004842DE"/>
    <w:rsid w:val="0048588B"/>
    <w:rsid w:val="00486520"/>
    <w:rsid w:val="004879AF"/>
    <w:rsid w:val="00487A3F"/>
    <w:rsid w:val="00495D0A"/>
    <w:rsid w:val="004A0AEE"/>
    <w:rsid w:val="004A1425"/>
    <w:rsid w:val="004A2803"/>
    <w:rsid w:val="004A3D8A"/>
    <w:rsid w:val="004A66E2"/>
    <w:rsid w:val="004B0B20"/>
    <w:rsid w:val="004B2BDF"/>
    <w:rsid w:val="004B3403"/>
    <w:rsid w:val="004B5744"/>
    <w:rsid w:val="004C414F"/>
    <w:rsid w:val="004C60DA"/>
    <w:rsid w:val="004C7407"/>
    <w:rsid w:val="004D0451"/>
    <w:rsid w:val="004D1A46"/>
    <w:rsid w:val="004D1A69"/>
    <w:rsid w:val="004D76F6"/>
    <w:rsid w:val="004D78F5"/>
    <w:rsid w:val="004E1648"/>
    <w:rsid w:val="004E1BE8"/>
    <w:rsid w:val="004E7551"/>
    <w:rsid w:val="004F3FAA"/>
    <w:rsid w:val="00501B49"/>
    <w:rsid w:val="00504FA5"/>
    <w:rsid w:val="0050752D"/>
    <w:rsid w:val="00522FC4"/>
    <w:rsid w:val="00531AAD"/>
    <w:rsid w:val="0053227E"/>
    <w:rsid w:val="00534B2A"/>
    <w:rsid w:val="00536221"/>
    <w:rsid w:val="005575C6"/>
    <w:rsid w:val="005601BF"/>
    <w:rsid w:val="0057055D"/>
    <w:rsid w:val="005805AC"/>
    <w:rsid w:val="00580E0F"/>
    <w:rsid w:val="00581E58"/>
    <w:rsid w:val="0059268B"/>
    <w:rsid w:val="00596280"/>
    <w:rsid w:val="005A38A1"/>
    <w:rsid w:val="005A60A8"/>
    <w:rsid w:val="005B07AC"/>
    <w:rsid w:val="005B1A3F"/>
    <w:rsid w:val="005C2B0C"/>
    <w:rsid w:val="005C2CBD"/>
    <w:rsid w:val="005C2F0C"/>
    <w:rsid w:val="005C60FD"/>
    <w:rsid w:val="005D76D9"/>
    <w:rsid w:val="005E2445"/>
    <w:rsid w:val="005E25A1"/>
    <w:rsid w:val="005E3277"/>
    <w:rsid w:val="005E418A"/>
    <w:rsid w:val="005F0232"/>
    <w:rsid w:val="006028E3"/>
    <w:rsid w:val="00612D08"/>
    <w:rsid w:val="00616481"/>
    <w:rsid w:val="006172B4"/>
    <w:rsid w:val="00617764"/>
    <w:rsid w:val="00626ABF"/>
    <w:rsid w:val="006345FA"/>
    <w:rsid w:val="00651FD8"/>
    <w:rsid w:val="0065647A"/>
    <w:rsid w:val="006635B2"/>
    <w:rsid w:val="006663CC"/>
    <w:rsid w:val="00680214"/>
    <w:rsid w:val="006906FE"/>
    <w:rsid w:val="00690B49"/>
    <w:rsid w:val="00693888"/>
    <w:rsid w:val="006942BA"/>
    <w:rsid w:val="00695380"/>
    <w:rsid w:val="006A04B1"/>
    <w:rsid w:val="006A21C3"/>
    <w:rsid w:val="006A5769"/>
    <w:rsid w:val="006C5697"/>
    <w:rsid w:val="006D7367"/>
    <w:rsid w:val="006E6FD5"/>
    <w:rsid w:val="006F1B42"/>
    <w:rsid w:val="006F73D0"/>
    <w:rsid w:val="0070573D"/>
    <w:rsid w:val="007127CE"/>
    <w:rsid w:val="00714F4D"/>
    <w:rsid w:val="007206DC"/>
    <w:rsid w:val="0072154C"/>
    <w:rsid w:val="007237B8"/>
    <w:rsid w:val="00723901"/>
    <w:rsid w:val="0073132F"/>
    <w:rsid w:val="007336DD"/>
    <w:rsid w:val="007354D3"/>
    <w:rsid w:val="0073587D"/>
    <w:rsid w:val="007372B7"/>
    <w:rsid w:val="0074064D"/>
    <w:rsid w:val="00744A6C"/>
    <w:rsid w:val="00750390"/>
    <w:rsid w:val="00750780"/>
    <w:rsid w:val="00752E86"/>
    <w:rsid w:val="007704EB"/>
    <w:rsid w:val="007753E0"/>
    <w:rsid w:val="0078034D"/>
    <w:rsid w:val="0078064B"/>
    <w:rsid w:val="007A18BF"/>
    <w:rsid w:val="007A5BC6"/>
    <w:rsid w:val="007B2A27"/>
    <w:rsid w:val="007B708A"/>
    <w:rsid w:val="007C445D"/>
    <w:rsid w:val="007E3273"/>
    <w:rsid w:val="007E4AD6"/>
    <w:rsid w:val="007E7246"/>
    <w:rsid w:val="007F2FC5"/>
    <w:rsid w:val="00806DAE"/>
    <w:rsid w:val="00807826"/>
    <w:rsid w:val="008103FA"/>
    <w:rsid w:val="00810427"/>
    <w:rsid w:val="00812ECC"/>
    <w:rsid w:val="00814006"/>
    <w:rsid w:val="0081683B"/>
    <w:rsid w:val="0082337C"/>
    <w:rsid w:val="00826143"/>
    <w:rsid w:val="0083595D"/>
    <w:rsid w:val="008365B8"/>
    <w:rsid w:val="00866984"/>
    <w:rsid w:val="00866B86"/>
    <w:rsid w:val="00870E31"/>
    <w:rsid w:val="00876713"/>
    <w:rsid w:val="0087713B"/>
    <w:rsid w:val="00891FEE"/>
    <w:rsid w:val="00893AEB"/>
    <w:rsid w:val="008A54E5"/>
    <w:rsid w:val="008B0C1B"/>
    <w:rsid w:val="008B283B"/>
    <w:rsid w:val="008B2D8A"/>
    <w:rsid w:val="008C11D7"/>
    <w:rsid w:val="008C1B5C"/>
    <w:rsid w:val="008D2E00"/>
    <w:rsid w:val="008D703D"/>
    <w:rsid w:val="008E0B71"/>
    <w:rsid w:val="008E4DDF"/>
    <w:rsid w:val="008E5907"/>
    <w:rsid w:val="00903E40"/>
    <w:rsid w:val="00905AB7"/>
    <w:rsid w:val="009106E3"/>
    <w:rsid w:val="00912E3E"/>
    <w:rsid w:val="0091354A"/>
    <w:rsid w:val="00914146"/>
    <w:rsid w:val="00914F1F"/>
    <w:rsid w:val="00917F84"/>
    <w:rsid w:val="009202DE"/>
    <w:rsid w:val="0094384E"/>
    <w:rsid w:val="0094739A"/>
    <w:rsid w:val="00961F2E"/>
    <w:rsid w:val="009651BF"/>
    <w:rsid w:val="00966529"/>
    <w:rsid w:val="0097286E"/>
    <w:rsid w:val="009765DF"/>
    <w:rsid w:val="00982D20"/>
    <w:rsid w:val="00986D1F"/>
    <w:rsid w:val="009878F4"/>
    <w:rsid w:val="009948D4"/>
    <w:rsid w:val="009A03CE"/>
    <w:rsid w:val="009B1C6F"/>
    <w:rsid w:val="009B5B8E"/>
    <w:rsid w:val="009C60AC"/>
    <w:rsid w:val="009E6A9A"/>
    <w:rsid w:val="009F0AC3"/>
    <w:rsid w:val="009F39AC"/>
    <w:rsid w:val="009F6DFB"/>
    <w:rsid w:val="00A01A41"/>
    <w:rsid w:val="00A14F44"/>
    <w:rsid w:val="00A16117"/>
    <w:rsid w:val="00A21B69"/>
    <w:rsid w:val="00A23E85"/>
    <w:rsid w:val="00A23F55"/>
    <w:rsid w:val="00A26C69"/>
    <w:rsid w:val="00A27EBD"/>
    <w:rsid w:val="00A36E89"/>
    <w:rsid w:val="00A5414B"/>
    <w:rsid w:val="00A577D5"/>
    <w:rsid w:val="00A57CF5"/>
    <w:rsid w:val="00A60987"/>
    <w:rsid w:val="00A67AE6"/>
    <w:rsid w:val="00A726CF"/>
    <w:rsid w:val="00A74A30"/>
    <w:rsid w:val="00A816DF"/>
    <w:rsid w:val="00A856D9"/>
    <w:rsid w:val="00A91AF0"/>
    <w:rsid w:val="00AB095B"/>
    <w:rsid w:val="00AB6956"/>
    <w:rsid w:val="00AC0EC7"/>
    <w:rsid w:val="00AC59FE"/>
    <w:rsid w:val="00AC7052"/>
    <w:rsid w:val="00AD4E06"/>
    <w:rsid w:val="00AE0F3C"/>
    <w:rsid w:val="00AE1513"/>
    <w:rsid w:val="00AE77F2"/>
    <w:rsid w:val="00AF469E"/>
    <w:rsid w:val="00AF595E"/>
    <w:rsid w:val="00AF7A56"/>
    <w:rsid w:val="00B11F58"/>
    <w:rsid w:val="00B14DDA"/>
    <w:rsid w:val="00B24A2D"/>
    <w:rsid w:val="00B26A43"/>
    <w:rsid w:val="00B304A9"/>
    <w:rsid w:val="00B33329"/>
    <w:rsid w:val="00B33406"/>
    <w:rsid w:val="00B33587"/>
    <w:rsid w:val="00B3436F"/>
    <w:rsid w:val="00B40866"/>
    <w:rsid w:val="00B4532E"/>
    <w:rsid w:val="00B71D94"/>
    <w:rsid w:val="00B85018"/>
    <w:rsid w:val="00B925B2"/>
    <w:rsid w:val="00B927E4"/>
    <w:rsid w:val="00B93EEB"/>
    <w:rsid w:val="00B949E3"/>
    <w:rsid w:val="00B95657"/>
    <w:rsid w:val="00BA13FC"/>
    <w:rsid w:val="00BA43DD"/>
    <w:rsid w:val="00BA6E51"/>
    <w:rsid w:val="00BA73C1"/>
    <w:rsid w:val="00BC1085"/>
    <w:rsid w:val="00BD7E35"/>
    <w:rsid w:val="00BF122E"/>
    <w:rsid w:val="00C04154"/>
    <w:rsid w:val="00C115FB"/>
    <w:rsid w:val="00C21C81"/>
    <w:rsid w:val="00C22C2E"/>
    <w:rsid w:val="00C33E75"/>
    <w:rsid w:val="00C44D50"/>
    <w:rsid w:val="00C5330F"/>
    <w:rsid w:val="00C54C75"/>
    <w:rsid w:val="00C55F76"/>
    <w:rsid w:val="00C611D4"/>
    <w:rsid w:val="00C66651"/>
    <w:rsid w:val="00C7061B"/>
    <w:rsid w:val="00C7112F"/>
    <w:rsid w:val="00C72A4A"/>
    <w:rsid w:val="00C7512A"/>
    <w:rsid w:val="00C82F32"/>
    <w:rsid w:val="00C85AD9"/>
    <w:rsid w:val="00C85B17"/>
    <w:rsid w:val="00C87000"/>
    <w:rsid w:val="00C87D11"/>
    <w:rsid w:val="00C91532"/>
    <w:rsid w:val="00C96A97"/>
    <w:rsid w:val="00C9707C"/>
    <w:rsid w:val="00CA29CF"/>
    <w:rsid w:val="00CA2B20"/>
    <w:rsid w:val="00CA4C95"/>
    <w:rsid w:val="00CD11FA"/>
    <w:rsid w:val="00CD5A9B"/>
    <w:rsid w:val="00CD624B"/>
    <w:rsid w:val="00CE00DD"/>
    <w:rsid w:val="00CE73E7"/>
    <w:rsid w:val="00CF0806"/>
    <w:rsid w:val="00CF0D6A"/>
    <w:rsid w:val="00CF182D"/>
    <w:rsid w:val="00CF5093"/>
    <w:rsid w:val="00D10C47"/>
    <w:rsid w:val="00D21A1E"/>
    <w:rsid w:val="00D31DA6"/>
    <w:rsid w:val="00D376FB"/>
    <w:rsid w:val="00D4585D"/>
    <w:rsid w:val="00D46E67"/>
    <w:rsid w:val="00D612B5"/>
    <w:rsid w:val="00D62109"/>
    <w:rsid w:val="00D662BB"/>
    <w:rsid w:val="00D769B1"/>
    <w:rsid w:val="00D829BB"/>
    <w:rsid w:val="00D84005"/>
    <w:rsid w:val="00D86F4B"/>
    <w:rsid w:val="00DA197B"/>
    <w:rsid w:val="00DA7752"/>
    <w:rsid w:val="00DB17D0"/>
    <w:rsid w:val="00DB6727"/>
    <w:rsid w:val="00DC129F"/>
    <w:rsid w:val="00DD72EE"/>
    <w:rsid w:val="00DE0656"/>
    <w:rsid w:val="00DE443C"/>
    <w:rsid w:val="00DE44C7"/>
    <w:rsid w:val="00DE7BF0"/>
    <w:rsid w:val="00DF0671"/>
    <w:rsid w:val="00DF1FB1"/>
    <w:rsid w:val="00DF6683"/>
    <w:rsid w:val="00DF6890"/>
    <w:rsid w:val="00E05A53"/>
    <w:rsid w:val="00E2378C"/>
    <w:rsid w:val="00E23FEB"/>
    <w:rsid w:val="00E24E1F"/>
    <w:rsid w:val="00E32F70"/>
    <w:rsid w:val="00E36A31"/>
    <w:rsid w:val="00E3732B"/>
    <w:rsid w:val="00E43E99"/>
    <w:rsid w:val="00E6661F"/>
    <w:rsid w:val="00E709A2"/>
    <w:rsid w:val="00E70ECE"/>
    <w:rsid w:val="00E7222A"/>
    <w:rsid w:val="00E7579D"/>
    <w:rsid w:val="00E75A4B"/>
    <w:rsid w:val="00E930BC"/>
    <w:rsid w:val="00EA23F2"/>
    <w:rsid w:val="00EA6882"/>
    <w:rsid w:val="00EC0AE9"/>
    <w:rsid w:val="00EC2B1D"/>
    <w:rsid w:val="00ED6EB0"/>
    <w:rsid w:val="00ED76B1"/>
    <w:rsid w:val="00EF3F9D"/>
    <w:rsid w:val="00EF450E"/>
    <w:rsid w:val="00EF48DB"/>
    <w:rsid w:val="00EF5026"/>
    <w:rsid w:val="00F02748"/>
    <w:rsid w:val="00F03D82"/>
    <w:rsid w:val="00F059AB"/>
    <w:rsid w:val="00F338DD"/>
    <w:rsid w:val="00F33D62"/>
    <w:rsid w:val="00F37B60"/>
    <w:rsid w:val="00F4753E"/>
    <w:rsid w:val="00F51C0F"/>
    <w:rsid w:val="00F54783"/>
    <w:rsid w:val="00F66313"/>
    <w:rsid w:val="00F67321"/>
    <w:rsid w:val="00F7136D"/>
    <w:rsid w:val="00F71CF0"/>
    <w:rsid w:val="00F72433"/>
    <w:rsid w:val="00F77690"/>
    <w:rsid w:val="00F84DA2"/>
    <w:rsid w:val="00F91E9B"/>
    <w:rsid w:val="00FA32BB"/>
    <w:rsid w:val="00FB6280"/>
    <w:rsid w:val="00FC286C"/>
    <w:rsid w:val="00FD4FC2"/>
    <w:rsid w:val="00FE08D3"/>
    <w:rsid w:val="00FE206D"/>
    <w:rsid w:val="00FE649B"/>
    <w:rsid w:val="00FE7B7E"/>
    <w:rsid w:val="00FF0E71"/>
    <w:rsid w:val="00FF0FED"/>
    <w:rsid w:val="00FF5942"/>
    <w:rsid w:val="00FF7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1160C"/>
  <w15:chartTrackingRefBased/>
  <w15:docId w15:val="{044DD1F5-A598-4281-B296-776887E3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72B56"/>
    <w:rPr>
      <w:b/>
      <w:bCs/>
    </w:rPr>
  </w:style>
  <w:style w:type="paragraph" w:styleId="Cabealho">
    <w:name w:val="header"/>
    <w:basedOn w:val="Normal"/>
    <w:link w:val="CabealhoChar"/>
    <w:uiPriority w:val="99"/>
    <w:unhideWhenUsed/>
    <w:rsid w:val="00472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2B56"/>
  </w:style>
  <w:style w:type="paragraph" w:styleId="Rodap">
    <w:name w:val="footer"/>
    <w:basedOn w:val="Normal"/>
    <w:link w:val="RodapChar"/>
    <w:uiPriority w:val="99"/>
    <w:unhideWhenUsed/>
    <w:rsid w:val="00472B56"/>
    <w:pPr>
      <w:tabs>
        <w:tab w:val="center" w:pos="4252"/>
        <w:tab w:val="right" w:pos="8504"/>
      </w:tabs>
      <w:spacing w:after="0" w:line="240" w:lineRule="auto"/>
    </w:pPr>
  </w:style>
  <w:style w:type="character" w:customStyle="1" w:styleId="RodapChar">
    <w:name w:val="Rodapé Char"/>
    <w:basedOn w:val="Fontepargpadro"/>
    <w:link w:val="Rodap"/>
    <w:uiPriority w:val="99"/>
    <w:rsid w:val="00472B56"/>
  </w:style>
  <w:style w:type="paragraph" w:styleId="PargrafodaLista">
    <w:name w:val="List Paragraph"/>
    <w:basedOn w:val="Normal"/>
    <w:uiPriority w:val="34"/>
    <w:qFormat/>
    <w:rsid w:val="005C2F0C"/>
    <w:pPr>
      <w:ind w:left="720"/>
      <w:contextualSpacing/>
    </w:pPr>
  </w:style>
  <w:style w:type="paragraph" w:styleId="Corpodetexto">
    <w:name w:val="Body Text"/>
    <w:basedOn w:val="Normal"/>
    <w:link w:val="CorpodetextoChar"/>
    <w:uiPriority w:val="1"/>
    <w:qFormat/>
    <w:rsid w:val="00251EF9"/>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51EF9"/>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AB09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B095B"/>
    <w:rPr>
      <w:color w:val="0000FF"/>
      <w:u w:val="single"/>
    </w:rPr>
  </w:style>
  <w:style w:type="character" w:styleId="MenoPendente">
    <w:name w:val="Unresolved Mention"/>
    <w:basedOn w:val="Fontepargpadro"/>
    <w:uiPriority w:val="99"/>
    <w:semiHidden/>
    <w:unhideWhenUsed/>
    <w:rsid w:val="00F4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2125">
      <w:bodyDiv w:val="1"/>
      <w:marLeft w:val="0"/>
      <w:marRight w:val="0"/>
      <w:marTop w:val="0"/>
      <w:marBottom w:val="0"/>
      <w:divBdr>
        <w:top w:val="none" w:sz="0" w:space="0" w:color="auto"/>
        <w:left w:val="none" w:sz="0" w:space="0" w:color="auto"/>
        <w:bottom w:val="none" w:sz="0" w:space="0" w:color="auto"/>
        <w:right w:val="none" w:sz="0" w:space="0" w:color="auto"/>
      </w:divBdr>
    </w:div>
    <w:div w:id="525290441">
      <w:bodyDiv w:val="1"/>
      <w:marLeft w:val="0"/>
      <w:marRight w:val="0"/>
      <w:marTop w:val="0"/>
      <w:marBottom w:val="0"/>
      <w:divBdr>
        <w:top w:val="none" w:sz="0" w:space="0" w:color="auto"/>
        <w:left w:val="none" w:sz="0" w:space="0" w:color="auto"/>
        <w:bottom w:val="none" w:sz="0" w:space="0" w:color="auto"/>
        <w:right w:val="none" w:sz="0" w:space="0" w:color="auto"/>
      </w:divBdr>
    </w:div>
    <w:div w:id="545331830">
      <w:bodyDiv w:val="1"/>
      <w:marLeft w:val="0"/>
      <w:marRight w:val="0"/>
      <w:marTop w:val="0"/>
      <w:marBottom w:val="0"/>
      <w:divBdr>
        <w:top w:val="none" w:sz="0" w:space="0" w:color="auto"/>
        <w:left w:val="none" w:sz="0" w:space="0" w:color="auto"/>
        <w:bottom w:val="none" w:sz="0" w:space="0" w:color="auto"/>
        <w:right w:val="none" w:sz="0" w:space="0" w:color="auto"/>
      </w:divBdr>
    </w:div>
    <w:div w:id="1741249853">
      <w:bodyDiv w:val="1"/>
      <w:marLeft w:val="0"/>
      <w:marRight w:val="0"/>
      <w:marTop w:val="0"/>
      <w:marBottom w:val="0"/>
      <w:divBdr>
        <w:top w:val="none" w:sz="0" w:space="0" w:color="auto"/>
        <w:left w:val="none" w:sz="0" w:space="0" w:color="auto"/>
        <w:bottom w:val="none" w:sz="0" w:space="0" w:color="auto"/>
        <w:right w:val="none" w:sz="0" w:space="0" w:color="auto"/>
      </w:divBdr>
      <w:divsChild>
        <w:div w:id="341321046">
          <w:marLeft w:val="0"/>
          <w:marRight w:val="0"/>
          <w:marTop w:val="0"/>
          <w:marBottom w:val="0"/>
          <w:divBdr>
            <w:top w:val="none" w:sz="0" w:space="0" w:color="auto"/>
            <w:left w:val="none" w:sz="0" w:space="0" w:color="auto"/>
            <w:bottom w:val="none" w:sz="0" w:space="0" w:color="auto"/>
            <w:right w:val="none" w:sz="0" w:space="0" w:color="auto"/>
          </w:divBdr>
        </w:div>
      </w:divsChild>
    </w:div>
    <w:div w:id="19343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3401</Words>
  <Characters>18368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Kalkmann</dc:creator>
  <cp:keywords/>
  <dc:description/>
  <cp:lastModifiedBy>Tiago Kalkmann</cp:lastModifiedBy>
  <cp:revision>3</cp:revision>
  <cp:lastPrinted>2022-04-25T15:02:00Z</cp:lastPrinted>
  <dcterms:created xsi:type="dcterms:W3CDTF">2022-08-25T17:42:00Z</dcterms:created>
  <dcterms:modified xsi:type="dcterms:W3CDTF">2022-08-25T17:59:00Z</dcterms:modified>
</cp:coreProperties>
</file>